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caps/>
          <w:kern w:val="2"/>
          <w:sz w:val="21"/>
        </w:rPr>
        <w:id w:val="536078793"/>
      </w:sdtPr>
      <w:sdtEndPr>
        <w:rPr>
          <w:rFonts w:eastAsiaTheme="minorEastAsia"/>
          <w:caps w:val="0"/>
        </w:rPr>
      </w:sdtEndPr>
      <w:sdtContent>
        <w:tbl>
          <w:tblPr>
            <w:tblW w:w="8522" w:type="dxa"/>
            <w:jc w:val="center"/>
            <w:tblLayout w:type="fixed"/>
            <w:tblLook w:val="04A0"/>
          </w:tblPr>
          <w:tblGrid>
            <w:gridCol w:w="8522"/>
          </w:tblGrid>
          <w:tr w:rsidR="00A17A9E">
            <w:trPr>
              <w:trHeight w:val="2880"/>
              <w:jc w:val="center"/>
            </w:trPr>
            <w:tc>
              <w:tcPr>
                <w:tcW w:w="8522" w:type="dxa"/>
              </w:tcPr>
              <w:p w:rsidR="00A17A9E" w:rsidRDefault="00006745">
                <w:pPr>
                  <w:pStyle w:val="1"/>
                  <w:rPr>
                    <w:rFonts w:ascii="Times New Roman" w:eastAsiaTheme="majorEastAsia" w:hAnsi="Times New Roman" w:cs="Times New Roman"/>
                    <w:caps/>
                    <w:sz w:val="31"/>
                    <w:szCs w:val="31"/>
                  </w:rPr>
                </w:pPr>
                <w:r>
                  <w:rPr>
                    <w:rFonts w:ascii="Times New Roman" w:eastAsiaTheme="majorEastAsia" w:hAnsi="Times New Roman" w:cs="Times New Roman" w:hint="eastAsia"/>
                    <w:caps/>
                    <w:kern w:val="2"/>
                    <w:sz w:val="31"/>
                    <w:szCs w:val="31"/>
                  </w:rPr>
                  <w:t>附件</w:t>
                </w:r>
                <w:r>
                  <w:rPr>
                    <w:rFonts w:ascii="Times New Roman" w:eastAsiaTheme="majorEastAsia" w:hAnsi="Times New Roman" w:cs="Times New Roman" w:hint="eastAsia"/>
                    <w:caps/>
                    <w:kern w:val="2"/>
                    <w:sz w:val="31"/>
                    <w:szCs w:val="31"/>
                  </w:rPr>
                  <w:t>1</w:t>
                </w:r>
              </w:p>
            </w:tc>
          </w:tr>
          <w:tr w:rsidR="00A17A9E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80"/>
                  <w:szCs w:val="80"/>
                </w:rPr>
                <w:alias w:val="标题"/>
                <w:id w:val="15524250"/>
                <w:text/>
              </w:sdtPr>
              <w:sdtContent>
                <w:tc>
                  <w:tcPr>
                    <w:tcW w:w="8522" w:type="dxa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17A9E" w:rsidRDefault="00006745">
                    <w:pPr>
                      <w:pStyle w:val="1"/>
                      <w:jc w:val="center"/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>201</w:t>
                    </w:r>
                    <w:r>
                      <w:rPr>
                        <w:rFonts w:ascii="Times New Roman" w:eastAsiaTheme="majorEastAsia" w:hAnsi="Times New Roman" w:cs="Times New Roman" w:hint="eastAsia"/>
                        <w:sz w:val="80"/>
                        <w:szCs w:val="80"/>
                      </w:rPr>
                      <w:t>6</w:t>
                    </w:r>
                    <w:r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>年</w:t>
                    </w:r>
                    <w:proofErr w:type="gramStart"/>
                    <w:r>
                      <w:rPr>
                        <w:rFonts w:ascii="Times New Roman" w:eastAsiaTheme="majorEastAsia" w:hAnsi="Times New Roman" w:cs="Times New Roman" w:hint="eastAsia"/>
                        <w:sz w:val="80"/>
                        <w:szCs w:val="80"/>
                      </w:rPr>
                      <w:t>东莞科</w:t>
                    </w:r>
                    <w:proofErr w:type="gramEnd"/>
                    <w:r>
                      <w:rPr>
                        <w:rFonts w:ascii="Times New Roman" w:eastAsiaTheme="majorEastAsia" w:hAnsi="Times New Roman" w:cs="Times New Roman" w:hint="eastAsia"/>
                        <w:sz w:val="80"/>
                        <w:szCs w:val="80"/>
                      </w:rPr>
                      <w:t>学馆</w:t>
                    </w:r>
                    <w:r>
                      <w:rPr>
                        <w:rFonts w:ascii="Times New Roman" w:eastAsiaTheme="majorEastAsia" w:hAnsi="Times New Roman" w:cs="Times New Roman" w:hint="eastAsia"/>
                        <w:sz w:val="80"/>
                        <w:szCs w:val="80"/>
                      </w:rPr>
                      <w:t xml:space="preserve">       </w:t>
                    </w:r>
                    <w:r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>部门预算</w:t>
                    </w:r>
                    <w:r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 xml:space="preserve">   </w:t>
                    </w:r>
                  </w:p>
                </w:tc>
              </w:sdtContent>
            </w:sdt>
          </w:tr>
          <w:tr w:rsidR="00A17A9E">
            <w:trPr>
              <w:trHeight w:val="720"/>
              <w:jc w:val="center"/>
            </w:trPr>
            <w:tc>
              <w:tcPr>
                <w:tcW w:w="8522" w:type="dxa"/>
                <w:tcBorders>
                  <w:top w:val="single" w:sz="4" w:space="0" w:color="4F81BD" w:themeColor="accent1"/>
                </w:tcBorders>
                <w:vAlign w:val="center"/>
              </w:tcPr>
              <w:p w:rsidR="00A17A9E" w:rsidRDefault="00A17A9E">
                <w:pPr>
                  <w:pStyle w:val="1"/>
                  <w:jc w:val="center"/>
                  <w:rPr>
                    <w:rFonts w:ascii="Times New Roman" w:eastAsiaTheme="majorEastAsia" w:hAnsi="Times New Roman" w:cs="Times New Roman"/>
                    <w:sz w:val="44"/>
                    <w:szCs w:val="44"/>
                  </w:rPr>
                </w:pPr>
              </w:p>
            </w:tc>
          </w:tr>
          <w:tr w:rsidR="00A17A9E">
            <w:trPr>
              <w:trHeight w:val="360"/>
              <w:jc w:val="center"/>
            </w:trPr>
            <w:tc>
              <w:tcPr>
                <w:tcW w:w="8522" w:type="dxa"/>
                <w:vAlign w:val="center"/>
              </w:tcPr>
              <w:p w:rsidR="00A17A9E" w:rsidRDefault="00A17A9E">
                <w:pPr>
                  <w:pStyle w:val="1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A17A9E">
            <w:trPr>
              <w:trHeight w:val="360"/>
              <w:jc w:val="center"/>
            </w:trPr>
            <w:tc>
              <w:tcPr>
                <w:tcW w:w="8522" w:type="dxa"/>
                <w:vAlign w:val="center"/>
              </w:tcPr>
              <w:p w:rsidR="00A17A9E" w:rsidRDefault="00A17A9E">
                <w:pPr>
                  <w:pStyle w:val="1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</w:tbl>
        <w:p w:rsidR="00A17A9E" w:rsidRDefault="00A17A9E">
          <w:pPr>
            <w:rPr>
              <w:rFonts w:ascii="仿宋_GB2312" w:eastAsia="仿宋_GB2312" w:hAnsi="Times New Roman" w:cs="Times New Roman"/>
              <w:sz w:val="32"/>
              <w:szCs w:val="32"/>
            </w:rPr>
          </w:pPr>
        </w:p>
        <w:p w:rsidR="00A17A9E" w:rsidRDefault="00A17A9E">
          <w:pPr>
            <w:rPr>
              <w:rFonts w:ascii="仿宋_GB2312" w:eastAsia="仿宋_GB2312" w:hAnsi="Times New Roman" w:cs="Times New Roman"/>
              <w:sz w:val="32"/>
              <w:szCs w:val="32"/>
            </w:rPr>
          </w:pPr>
        </w:p>
        <w:p w:rsidR="00A17A9E" w:rsidRDefault="00A17A9E">
          <w:pPr>
            <w:rPr>
              <w:rFonts w:ascii="仿宋_GB2312" w:eastAsia="仿宋_GB2312" w:hAnsi="Times New Roman" w:cs="Times New Roman"/>
              <w:sz w:val="32"/>
              <w:szCs w:val="32"/>
            </w:rPr>
          </w:pPr>
        </w:p>
        <w:p w:rsidR="00A17A9E" w:rsidRDefault="00006745">
          <w:pPr>
            <w:jc w:val="left"/>
            <w:rPr>
              <w:rFonts w:ascii="仿宋_GB2312" w:eastAsia="仿宋_GB2312" w:hAnsi="Times New Roman" w:cs="Times New Roman"/>
              <w:sz w:val="32"/>
              <w:szCs w:val="32"/>
            </w:rPr>
          </w:pPr>
          <w:r>
            <w:rPr>
              <w:rFonts w:ascii="仿宋_GB2312" w:eastAsia="仿宋_GB2312" w:hAnsi="Times New Roman" w:cs="Times New Roman" w:hint="eastAsia"/>
              <w:sz w:val="32"/>
              <w:szCs w:val="32"/>
            </w:rPr>
            <w:t>单位名称（公章）：东莞科学馆</w:t>
          </w:r>
        </w:p>
        <w:p w:rsidR="00A17A9E" w:rsidRDefault="00A17A9E">
          <w:pPr>
            <w:jc w:val="left"/>
            <w:rPr>
              <w:rFonts w:ascii="仿宋_GB2312" w:eastAsia="仿宋_GB2312" w:hAnsi="Times New Roman" w:cs="Times New Roman"/>
              <w:sz w:val="32"/>
              <w:szCs w:val="32"/>
            </w:rPr>
          </w:pPr>
        </w:p>
        <w:p w:rsidR="00A17A9E" w:rsidRDefault="00006745">
          <w:pPr>
            <w:jc w:val="left"/>
            <w:rPr>
              <w:rFonts w:ascii="仿宋_GB2312" w:eastAsia="仿宋_GB2312" w:hAnsi="Times New Roman" w:cs="Times New Roman"/>
              <w:sz w:val="32"/>
              <w:szCs w:val="32"/>
            </w:rPr>
          </w:pPr>
          <w:r>
            <w:rPr>
              <w:rFonts w:ascii="仿宋_GB2312" w:eastAsia="仿宋_GB2312" w:hAnsi="Times New Roman" w:cs="Times New Roman" w:hint="eastAsia"/>
              <w:sz w:val="32"/>
              <w:szCs w:val="32"/>
            </w:rPr>
            <w:t>单位主要负责人签名：</w:t>
          </w:r>
        </w:p>
        <w:p w:rsidR="00A17A9E" w:rsidRDefault="00A17A9E">
          <w:pPr>
            <w:rPr>
              <w:rFonts w:ascii="仿宋_GB2312" w:eastAsia="仿宋_GB2312" w:hAnsi="Times New Roman" w:cs="Times New Roman"/>
              <w:sz w:val="32"/>
              <w:szCs w:val="32"/>
            </w:rPr>
          </w:pPr>
        </w:p>
        <w:p w:rsidR="00A17A9E" w:rsidRDefault="00A17A9E">
          <w:pPr>
            <w:rPr>
              <w:rFonts w:ascii="仿宋_GB2312" w:eastAsia="仿宋_GB2312" w:hAnsi="Times New Roman" w:cs="Times New Roman"/>
              <w:sz w:val="32"/>
              <w:szCs w:val="32"/>
            </w:rPr>
          </w:pPr>
        </w:p>
        <w:p w:rsidR="00A17A9E" w:rsidRDefault="00006745">
          <w:pPr>
            <w:widowControl/>
            <w:jc w:val="lef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br w:type="page"/>
          </w:r>
        </w:p>
      </w:sdtContent>
    </w:sdt>
    <w:p w:rsidR="00A17A9E" w:rsidRDefault="00006745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目录</w:t>
      </w:r>
    </w:p>
    <w:p w:rsidR="00A17A9E" w:rsidRDefault="00006745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第一部分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部门概况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一、部门主要职责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二、部门预算单位构成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三、人员情况</w:t>
      </w:r>
    </w:p>
    <w:p w:rsidR="00A17A9E" w:rsidRDefault="00006745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第二部分</w:t>
      </w:r>
      <w:r>
        <w:rPr>
          <w:rFonts w:ascii="Times New Roman" w:eastAsia="黑体" w:hAnsi="Times New Roman" w:cs="Times New Roman"/>
          <w:sz w:val="32"/>
          <w:szCs w:val="32"/>
        </w:rPr>
        <w:t xml:space="preserve"> 201</w:t>
      </w:r>
      <w:r>
        <w:rPr>
          <w:rFonts w:ascii="Times New Roman" w:eastAsia="黑体" w:hAnsi="Times New Roman" w:cs="Times New Roman" w:hint="eastAsia"/>
          <w:sz w:val="32"/>
          <w:szCs w:val="32"/>
        </w:rPr>
        <w:t>6</w:t>
      </w:r>
      <w:r>
        <w:rPr>
          <w:rFonts w:ascii="Times New Roman" w:eastAsia="黑体" w:hAnsi="Times New Roman" w:cs="Times New Roman"/>
          <w:sz w:val="32"/>
          <w:szCs w:val="32"/>
        </w:rPr>
        <w:t>年部门预算情况说明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</w:t>
      </w: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年财政拨款收支预算情况的说明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</w:t>
      </w: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年一般公共预算</w:t>
      </w:r>
      <w:r w:rsidR="00A07851">
        <w:rPr>
          <w:rFonts w:ascii="Times New Roman" w:eastAsia="仿宋_GB2312" w:hAnsi="Times New Roman" w:cs="Times New Roman" w:hint="eastAsia"/>
          <w:sz w:val="32"/>
          <w:szCs w:val="32"/>
        </w:rPr>
        <w:t>当年财政拨款</w:t>
      </w:r>
      <w:r>
        <w:rPr>
          <w:rFonts w:ascii="Times New Roman" w:eastAsia="仿宋_GB2312" w:hAnsi="Times New Roman" w:cs="Times New Roman"/>
          <w:sz w:val="32"/>
          <w:szCs w:val="32"/>
        </w:rPr>
        <w:t>情况说明</w:t>
      </w:r>
    </w:p>
    <w:p w:rsidR="009D02F1" w:rsidRDefault="009D02F1" w:rsidP="009D02F1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三、</w:t>
      </w:r>
      <w:r w:rsidRPr="009D02F1">
        <w:rPr>
          <w:rFonts w:ascii="仿宋_GB2312" w:eastAsia="仿宋_GB2312" w:hAnsi="Times New Roman" w:cs="Times New Roman" w:hint="eastAsia"/>
          <w:sz w:val="32"/>
          <w:szCs w:val="32"/>
        </w:rPr>
        <w:t>2016年一般公共预算当年财政拨款基本支出情况说明</w:t>
      </w:r>
    </w:p>
    <w:p w:rsidR="009D02F1" w:rsidRPr="009D02F1" w:rsidRDefault="009D02F1" w:rsidP="009D02F1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D02F1">
        <w:rPr>
          <w:rFonts w:ascii="仿宋_GB2312" w:eastAsia="仿宋_GB2312" w:hAnsi="Times New Roman" w:cs="Times New Roman" w:hint="eastAsia"/>
          <w:sz w:val="32"/>
          <w:szCs w:val="32"/>
        </w:rPr>
        <w:t>四、2016年一般公共预算“三公”经费预算情况说明</w:t>
      </w:r>
    </w:p>
    <w:p w:rsidR="009D02F1" w:rsidRPr="009D02F1" w:rsidRDefault="009D02F1" w:rsidP="009D02F1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D02F1">
        <w:rPr>
          <w:rFonts w:ascii="仿宋_GB2312" w:eastAsia="仿宋_GB2312" w:hAnsi="Times New Roman" w:cs="Times New Roman" w:hint="eastAsia"/>
          <w:sz w:val="32"/>
          <w:szCs w:val="32"/>
        </w:rPr>
        <w:t>五、2016年收支预算情况说明</w:t>
      </w:r>
    </w:p>
    <w:p w:rsidR="009D02F1" w:rsidRPr="009D02F1" w:rsidRDefault="009D02F1" w:rsidP="009D02F1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D02F1">
        <w:rPr>
          <w:rFonts w:ascii="仿宋_GB2312" w:eastAsia="仿宋_GB2312" w:hAnsi="Times New Roman" w:cs="Times New Roman" w:hint="eastAsia"/>
          <w:sz w:val="32"/>
          <w:szCs w:val="32"/>
        </w:rPr>
        <w:t>六、其他重要事项的情况说明</w:t>
      </w:r>
    </w:p>
    <w:p w:rsidR="00A17A9E" w:rsidRDefault="00006745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第三部分</w:t>
      </w:r>
      <w:r>
        <w:rPr>
          <w:rFonts w:ascii="Times New Roman" w:eastAsia="黑体" w:hAnsi="Times New Roman" w:cs="Times New Roman"/>
          <w:sz w:val="32"/>
          <w:szCs w:val="32"/>
        </w:rPr>
        <w:t xml:space="preserve"> 201</w:t>
      </w:r>
      <w:r>
        <w:rPr>
          <w:rFonts w:ascii="Times New Roman" w:eastAsia="黑体" w:hAnsi="Times New Roman" w:cs="Times New Roman" w:hint="eastAsia"/>
          <w:sz w:val="32"/>
          <w:szCs w:val="32"/>
        </w:rPr>
        <w:t>6</w:t>
      </w:r>
      <w:r>
        <w:rPr>
          <w:rFonts w:ascii="Times New Roman" w:eastAsia="黑体" w:hAnsi="Times New Roman" w:cs="Times New Roman"/>
          <w:sz w:val="32"/>
          <w:szCs w:val="32"/>
        </w:rPr>
        <w:t>年部门预算表</w:t>
      </w:r>
    </w:p>
    <w:p w:rsidR="00A17A9E" w:rsidRDefault="00006745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一、财政拨款收支总表</w:t>
      </w:r>
    </w:p>
    <w:p w:rsidR="00A17A9E" w:rsidRDefault="00006745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二、一般公共预算支出表</w:t>
      </w:r>
    </w:p>
    <w:p w:rsidR="00A17A9E" w:rsidRDefault="00006745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三、一般公共预算基本支出表</w:t>
      </w:r>
      <w:r w:rsidR="003313CE">
        <w:rPr>
          <w:rFonts w:ascii="Times New Roman" w:eastAsia="仿宋_GB2312" w:hAnsi="Times New Roman" w:cs="Times New Roman" w:hint="eastAsia"/>
          <w:sz w:val="32"/>
          <w:szCs w:val="32"/>
        </w:rPr>
        <w:t>及项目支出表</w:t>
      </w:r>
    </w:p>
    <w:p w:rsidR="00A17A9E" w:rsidRDefault="00006745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四、一般公共预算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经费支出表</w:t>
      </w:r>
    </w:p>
    <w:p w:rsidR="00A17A9E" w:rsidRDefault="00006745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五、政府性基金预算支出表</w:t>
      </w:r>
    </w:p>
    <w:p w:rsidR="00A17A9E" w:rsidRDefault="00006745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六、部门收支总表</w:t>
      </w:r>
    </w:p>
    <w:p w:rsidR="00A17A9E" w:rsidRDefault="00006745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七、部门收入总表</w:t>
      </w:r>
    </w:p>
    <w:p w:rsidR="00A17A9E" w:rsidRDefault="00006745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八、部门支出总表</w:t>
      </w:r>
    </w:p>
    <w:p w:rsidR="00A17A9E" w:rsidRDefault="00006745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九、政府采购预算表</w:t>
      </w:r>
    </w:p>
    <w:p w:rsidR="00A17A9E" w:rsidRDefault="00A17A9E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17A9E" w:rsidRDefault="00A17A9E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17A9E" w:rsidRDefault="00A17A9E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17A9E" w:rsidRDefault="00A17A9E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17A9E" w:rsidRDefault="00006745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第一部分</w:t>
      </w:r>
      <w:r>
        <w:rPr>
          <w:rFonts w:ascii="Times New Roman" w:eastAsia="黑体" w:hAnsi="Times New Roman" w:cs="Times New Roman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</w:rPr>
        <w:t>部门概况</w:t>
      </w:r>
    </w:p>
    <w:p w:rsidR="00A17A9E" w:rsidRDefault="00006745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一、部门主要职责</w:t>
      </w:r>
    </w:p>
    <w:p w:rsidR="00A17A9E" w:rsidRDefault="00006745">
      <w:pPr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开展科技展览教育活动，提高广大市民的科学文化素质；开展科技培训，对科技人员实行再教育；组织青少年的科技活动，为国家培养后备力量；开展科技联谊，增进科技工作者之间的交往，促进科技信息的交流；收藏、整理、研究科技资料、信息和史料，为科技团体和科技工作者服务；负责科学馆大楼的管理等。</w:t>
      </w:r>
    </w:p>
    <w:p w:rsidR="00A17A9E" w:rsidRDefault="00006745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二、部门预算单位构成</w:t>
      </w:r>
    </w:p>
    <w:p w:rsidR="00A17A9E" w:rsidRDefault="00006745">
      <w:pPr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proofErr w:type="gramStart"/>
      <w:r>
        <w:rPr>
          <w:rFonts w:ascii="Calibri" w:eastAsia="仿宋_GB2312" w:hAnsi="Calibri" w:cs="Times New Roman"/>
          <w:sz w:val="32"/>
          <w:szCs w:val="32"/>
        </w:rPr>
        <w:t>东莞科</w:t>
      </w:r>
      <w:proofErr w:type="gramEnd"/>
      <w:r>
        <w:rPr>
          <w:rFonts w:ascii="Calibri" w:eastAsia="仿宋_GB2312" w:hAnsi="Calibri" w:cs="Times New Roman"/>
          <w:sz w:val="32"/>
          <w:szCs w:val="32"/>
        </w:rPr>
        <w:t>学馆是市科协的直属事业单位。馆内设</w:t>
      </w:r>
      <w:r>
        <w:rPr>
          <w:rFonts w:ascii="Calibri" w:eastAsia="仿宋_GB2312" w:hAnsi="Calibri" w:cs="Times New Roman"/>
          <w:sz w:val="32"/>
          <w:szCs w:val="32"/>
        </w:rPr>
        <w:t>5</w:t>
      </w:r>
      <w:r>
        <w:rPr>
          <w:rFonts w:ascii="Calibri" w:eastAsia="仿宋_GB2312" w:hAnsi="Calibri" w:cs="Times New Roman"/>
          <w:sz w:val="32"/>
          <w:szCs w:val="32"/>
        </w:rPr>
        <w:t>个科室、</w:t>
      </w:r>
      <w:r>
        <w:rPr>
          <w:rFonts w:ascii="Calibri" w:eastAsia="仿宋_GB2312" w:hAnsi="Calibri" w:cs="Times New Roman"/>
          <w:sz w:val="32"/>
          <w:szCs w:val="32"/>
        </w:rPr>
        <w:t>0</w:t>
      </w:r>
      <w:r>
        <w:rPr>
          <w:rFonts w:ascii="Calibri" w:eastAsia="仿宋_GB2312" w:hAnsi="Calibri" w:cs="Times New Roman"/>
          <w:sz w:val="32"/>
          <w:szCs w:val="32"/>
        </w:rPr>
        <w:t>个派出机构。</w:t>
      </w:r>
    </w:p>
    <w:p w:rsidR="00A17A9E" w:rsidRDefault="00006745">
      <w:pPr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份部门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预算仅包括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东莞科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学馆</w:t>
      </w:r>
      <w:r>
        <w:rPr>
          <w:rFonts w:ascii="Times New Roman" w:eastAsia="仿宋_GB2312" w:hAnsi="Times New Roman" w:cs="Times New Roman"/>
          <w:sz w:val="32"/>
          <w:szCs w:val="32"/>
        </w:rPr>
        <w:t>本级预算。</w:t>
      </w:r>
    </w:p>
    <w:p w:rsidR="00A17A9E" w:rsidRDefault="00006745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三、人员情况</w:t>
      </w:r>
    </w:p>
    <w:p w:rsidR="00A17A9E" w:rsidRPr="009D02F1" w:rsidRDefault="00006745" w:rsidP="009D02F1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年，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东莞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学馆</w:t>
      </w:r>
      <w:r>
        <w:rPr>
          <w:rFonts w:ascii="Times New Roman" w:eastAsia="仿宋_GB2312" w:hAnsi="Times New Roman" w:cs="Times New Roman"/>
          <w:sz w:val="32"/>
          <w:szCs w:val="32"/>
        </w:rPr>
        <w:t>共有行政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事业编制数</w:t>
      </w:r>
      <w:r>
        <w:rPr>
          <w:rFonts w:ascii="Times New Roman" w:eastAsia="黑体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名，</w:t>
      </w:r>
      <w:r>
        <w:rPr>
          <w:rFonts w:ascii="仿宋_GB2312" w:eastAsia="仿宋_GB2312" w:hint="eastAsia"/>
          <w:sz w:val="32"/>
          <w:szCs w:val="32"/>
        </w:rPr>
        <w:t>其中财政供养的编内实有在职干部17人，工勤人员3人；另外，有随军家属4人，离退休3人，聘用人员 2</w:t>
      </w:r>
      <w:r w:rsidR="00C21937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后勤服务人员</w:t>
      </w:r>
      <w:r w:rsidR="005F49E5">
        <w:rPr>
          <w:rFonts w:ascii="Times New Roman" w:eastAsia="黑体" w:hAnsi="Times New Roman" w:cs="Times New Roman" w:hint="eastAsia"/>
          <w:kern w:val="0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人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A17A9E" w:rsidRDefault="00006745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第二部分</w:t>
      </w:r>
      <w:r>
        <w:rPr>
          <w:rFonts w:ascii="Times New Roman" w:eastAsia="黑体" w:hAnsi="Times New Roman" w:cs="Times New Roman"/>
          <w:sz w:val="32"/>
          <w:szCs w:val="32"/>
        </w:rPr>
        <w:t xml:space="preserve"> 2016</w:t>
      </w:r>
      <w:r>
        <w:rPr>
          <w:rFonts w:ascii="Times New Roman" w:eastAsia="黑体" w:hAnsi="Times New Roman" w:cs="Times New Roman"/>
          <w:sz w:val="32"/>
          <w:szCs w:val="32"/>
        </w:rPr>
        <w:t>年部门预算情况说明</w:t>
      </w:r>
    </w:p>
    <w:p w:rsidR="00A17A9E" w:rsidRDefault="00006745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</w:t>
      </w:r>
      <w:r>
        <w:rPr>
          <w:rFonts w:ascii="Times New Roman" w:eastAsia="黑体" w:hAnsi="Times New Roman" w:cs="Times New Roman"/>
          <w:sz w:val="32"/>
          <w:szCs w:val="32"/>
        </w:rPr>
        <w:t>2016</w:t>
      </w:r>
      <w:r>
        <w:rPr>
          <w:rFonts w:ascii="Times New Roman" w:eastAsia="黑体" w:hAnsi="Times New Roman" w:cs="Times New Roman"/>
          <w:sz w:val="32"/>
          <w:szCs w:val="32"/>
        </w:rPr>
        <w:t>年财政拨款收支预算情况的说明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本部门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年财政拨款收支总预算</w:t>
      </w:r>
      <w:r w:rsidR="002C2444" w:rsidRPr="002C2444">
        <w:rPr>
          <w:rFonts w:ascii="Times New Roman" w:eastAsia="仿宋_GB2312" w:hAnsi="Times New Roman" w:cs="Times New Roman"/>
          <w:sz w:val="32"/>
          <w:szCs w:val="32"/>
        </w:rPr>
        <w:t>2084.55</w:t>
      </w:r>
      <w:r>
        <w:rPr>
          <w:rFonts w:ascii="Times New Roman" w:eastAsia="仿宋_GB2312" w:hAnsi="Times New Roman" w:cs="Times New Roman"/>
          <w:sz w:val="32"/>
          <w:szCs w:val="32"/>
        </w:rPr>
        <w:t>万元。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收入方面：</w:t>
      </w:r>
      <w:r>
        <w:rPr>
          <w:rFonts w:ascii="Times New Roman" w:eastAsia="仿宋_GB2312" w:hAnsi="Times New Roman" w:cs="Times New Roman"/>
          <w:sz w:val="32"/>
          <w:szCs w:val="32"/>
        </w:rPr>
        <w:t>一般公共预算财政拨款</w:t>
      </w:r>
      <w:r w:rsidR="002C2444" w:rsidRPr="002C2444">
        <w:rPr>
          <w:rFonts w:ascii="Times New Roman" w:eastAsia="仿宋_GB2312" w:hAnsi="Times New Roman" w:cs="Times New Roman"/>
          <w:sz w:val="32"/>
          <w:szCs w:val="32"/>
        </w:rPr>
        <w:t>2084.55</w:t>
      </w:r>
      <w:r>
        <w:rPr>
          <w:rFonts w:ascii="Times New Roman" w:eastAsia="仿宋_GB2312" w:hAnsi="Times New Roman" w:cs="Times New Roman"/>
          <w:sz w:val="32"/>
          <w:szCs w:val="32"/>
        </w:rPr>
        <w:t>万元，其中，本年收入</w:t>
      </w:r>
      <w:r w:rsidR="002C2444" w:rsidRPr="002C2444">
        <w:rPr>
          <w:rFonts w:ascii="Times New Roman" w:eastAsia="仿宋_GB2312" w:hAnsi="Times New Roman" w:cs="Times New Roman"/>
          <w:sz w:val="32"/>
          <w:szCs w:val="32"/>
        </w:rPr>
        <w:t>1987.68</w:t>
      </w:r>
      <w:r>
        <w:rPr>
          <w:rFonts w:ascii="Times New Roman" w:eastAsia="仿宋_GB2312" w:hAnsi="Times New Roman" w:cs="Times New Roman"/>
          <w:sz w:val="32"/>
          <w:szCs w:val="32"/>
        </w:rPr>
        <w:t>万元，年初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结余</w:t>
      </w:r>
      <w:r>
        <w:rPr>
          <w:rFonts w:ascii="Times New Roman" w:eastAsia="仿宋_GB2312" w:hAnsi="Times New Roman" w:cs="Times New Roman"/>
          <w:sz w:val="32"/>
          <w:szCs w:val="32"/>
        </w:rPr>
        <w:t>结转</w:t>
      </w:r>
      <w:r w:rsidR="002C2444" w:rsidRPr="002C2444">
        <w:rPr>
          <w:rFonts w:ascii="Times New Roman" w:eastAsia="仿宋_GB2312" w:hAnsi="Times New Roman" w:cs="Times New Roman"/>
          <w:sz w:val="32"/>
          <w:szCs w:val="32"/>
        </w:rPr>
        <w:t>96.87</w:t>
      </w:r>
      <w:r>
        <w:rPr>
          <w:rFonts w:ascii="Times New Roman" w:eastAsia="仿宋_GB2312" w:hAnsi="Times New Roman" w:cs="Times New Roman"/>
          <w:sz w:val="32"/>
          <w:szCs w:val="32"/>
        </w:rPr>
        <w:t>万元；政府性基金预算财政拨款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万元，其中，本年收入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万元，年初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结余</w:t>
      </w:r>
      <w:r>
        <w:rPr>
          <w:rFonts w:ascii="Times New Roman" w:eastAsia="仿宋_GB2312" w:hAnsi="Times New Roman" w:cs="Times New Roman"/>
          <w:sz w:val="32"/>
          <w:szCs w:val="32"/>
        </w:rPr>
        <w:t>结转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万元。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支出方面，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科学技术</w:t>
      </w:r>
      <w:r>
        <w:rPr>
          <w:rFonts w:ascii="Times New Roman" w:eastAsia="仿宋_GB2312" w:hAnsi="Times New Roman" w:cs="Times New Roman"/>
          <w:sz w:val="32"/>
          <w:szCs w:val="32"/>
        </w:rPr>
        <w:t>支出</w:t>
      </w:r>
      <w:r w:rsidR="002C2444" w:rsidRPr="002C2444">
        <w:rPr>
          <w:rFonts w:ascii="Times New Roman" w:eastAsia="仿宋_GB2312" w:hAnsi="Times New Roman" w:cs="Times New Roman"/>
          <w:sz w:val="32"/>
          <w:szCs w:val="32"/>
        </w:rPr>
        <w:t>2062.55</w:t>
      </w:r>
      <w:r>
        <w:rPr>
          <w:rFonts w:ascii="Times New Roman" w:eastAsia="仿宋_GB2312" w:hAnsi="Times New Roman" w:cs="Times New Roman"/>
          <w:sz w:val="32"/>
          <w:szCs w:val="32"/>
        </w:rPr>
        <w:t>万元，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住房保障支出</w:t>
      </w:r>
      <w:r w:rsidR="00213F3B">
        <w:rPr>
          <w:rFonts w:ascii="Times New Roman" w:eastAsia="仿宋_GB2312" w:hAnsi="Times New Roman" w:cs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17A9E" w:rsidRDefault="00006745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二、2016年一般公共预算当年财政拨款情况说明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（一）一般公共预算当年财政拨款规模变化情况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年，本部门一般公共预算当年财政拨款收入</w:t>
      </w:r>
      <w:r w:rsidR="002C2444" w:rsidRPr="002C2444">
        <w:rPr>
          <w:rFonts w:ascii="Times New Roman" w:eastAsia="仿宋_GB2312" w:hAnsi="Times New Roman" w:cs="Times New Roman"/>
          <w:sz w:val="32"/>
          <w:szCs w:val="32"/>
        </w:rPr>
        <w:t>1987.68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万元，比</w:t>
      </w:r>
      <w:r w:rsidRPr="00281A5A">
        <w:rPr>
          <w:rFonts w:ascii="Times New Roman" w:eastAsia="仿宋_GB2312" w:hAnsi="Times New Roman" w:cs="Times New Roman" w:hint="eastAsia"/>
          <w:sz w:val="32"/>
          <w:szCs w:val="32"/>
        </w:rPr>
        <w:t>2015</w:t>
      </w:r>
      <w:r w:rsidRPr="00281A5A">
        <w:rPr>
          <w:rFonts w:ascii="Times New Roman" w:eastAsia="仿宋_GB2312" w:hAnsi="Times New Roman" w:cs="Times New Roman" w:hint="eastAsia"/>
          <w:sz w:val="32"/>
          <w:szCs w:val="32"/>
        </w:rPr>
        <w:t>年预算数增加</w:t>
      </w:r>
      <w:r w:rsidR="002C2444">
        <w:rPr>
          <w:rFonts w:ascii="Times New Roman" w:eastAsia="仿宋_GB2312" w:hAnsi="Times New Roman" w:cs="Times New Roman" w:hint="eastAsia"/>
          <w:sz w:val="32"/>
          <w:szCs w:val="32"/>
        </w:rPr>
        <w:t>467.37</w:t>
      </w:r>
      <w:r w:rsidRPr="00281A5A">
        <w:rPr>
          <w:rFonts w:ascii="Times New Roman" w:eastAsia="仿宋_GB2312" w:hAnsi="Times New Roman" w:cs="Times New Roman" w:hint="eastAsia"/>
          <w:sz w:val="32"/>
          <w:szCs w:val="32"/>
        </w:rPr>
        <w:t>万元，</w:t>
      </w:r>
      <w:r w:rsidRPr="00512B51">
        <w:rPr>
          <w:rFonts w:ascii="Times New Roman" w:eastAsia="仿宋_GB2312" w:hAnsi="Times New Roman" w:cs="Times New Roman" w:hint="eastAsia"/>
          <w:sz w:val="32"/>
          <w:szCs w:val="32"/>
        </w:rPr>
        <w:t>比</w:t>
      </w:r>
      <w:r w:rsidRPr="00512B51">
        <w:rPr>
          <w:rFonts w:ascii="Times New Roman" w:eastAsia="仿宋_GB2312" w:hAnsi="Times New Roman" w:cs="Times New Roman" w:hint="eastAsia"/>
          <w:sz w:val="32"/>
          <w:szCs w:val="32"/>
        </w:rPr>
        <w:t>2015</w:t>
      </w:r>
      <w:r w:rsidRPr="00512B51">
        <w:rPr>
          <w:rFonts w:ascii="Times New Roman" w:eastAsia="仿宋_GB2312" w:hAnsi="Times New Roman" w:cs="Times New Roman" w:hint="eastAsia"/>
          <w:sz w:val="32"/>
          <w:szCs w:val="32"/>
        </w:rPr>
        <w:t>年执行数增加</w:t>
      </w:r>
      <w:r w:rsidR="00512B51" w:rsidRPr="00512B51">
        <w:rPr>
          <w:rFonts w:ascii="Times New Roman" w:eastAsia="仿宋_GB2312" w:hAnsi="Times New Roman" w:cs="Times New Roman" w:hint="eastAsia"/>
          <w:sz w:val="32"/>
          <w:szCs w:val="32"/>
        </w:rPr>
        <w:t>530.69</w:t>
      </w:r>
      <w:r w:rsidRPr="00512B51">
        <w:rPr>
          <w:rFonts w:ascii="Times New Roman" w:eastAsia="仿宋_GB2312" w:hAnsi="Times New Roman" w:cs="Times New Roman" w:hint="eastAsia"/>
          <w:sz w:val="32"/>
          <w:szCs w:val="32"/>
        </w:rPr>
        <w:t>万元。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（二）一般公共预算当年财政拨款支出结构情况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年，本部门一般公共预算当年财政拨款支出</w:t>
      </w:r>
      <w:r w:rsidR="00512B51" w:rsidRPr="00512B51">
        <w:rPr>
          <w:rFonts w:ascii="Times New Roman" w:eastAsia="仿宋_GB2312" w:hAnsi="Times New Roman" w:cs="Times New Roman"/>
          <w:sz w:val="32"/>
          <w:szCs w:val="32"/>
        </w:rPr>
        <w:t>1987.68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万元，其中：科学技术支出</w:t>
      </w:r>
      <w:r w:rsidR="00512B51" w:rsidRPr="00512B51">
        <w:rPr>
          <w:rFonts w:ascii="Times New Roman" w:eastAsia="仿宋_GB2312" w:hAnsi="Times New Roman" w:cs="Times New Roman"/>
          <w:sz w:val="32"/>
          <w:szCs w:val="32"/>
        </w:rPr>
        <w:t>1965.68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万元，占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99%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；住房保障支出</w:t>
      </w:r>
      <w:r w:rsidR="00213F3B">
        <w:rPr>
          <w:rFonts w:ascii="Times New Roman" w:eastAsia="仿宋_GB2312" w:hAnsi="Times New Roman" w:cs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万元，占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1%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（三）一般公共预算当年财政拨款支出具体情况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科学技术支出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）科学技术管理事务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①一般行政管理事务（科目编码：</w:t>
      </w:r>
      <w:r>
        <w:rPr>
          <w:rFonts w:ascii="Times New Roman" w:eastAsia="仿宋_GB2312" w:hAnsi="Times New Roman" w:cs="Times New Roman"/>
          <w:sz w:val="32"/>
          <w:szCs w:val="32"/>
        </w:rPr>
        <w:t>2060102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年预算数为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38.31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万元，比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年预算数增加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38.31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100%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）科学技术普及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①机构运行（科目编码：</w:t>
      </w:r>
      <w:r>
        <w:rPr>
          <w:rFonts w:ascii="Times New Roman" w:eastAsia="仿宋_GB2312" w:hAnsi="Times New Roman" w:cs="Times New Roman"/>
          <w:sz w:val="32"/>
          <w:szCs w:val="32"/>
        </w:rPr>
        <w:t>2060701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年预算数为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213F3B">
        <w:rPr>
          <w:rFonts w:ascii="Times New Roman" w:eastAsia="仿宋_GB2312" w:hAnsi="Times New Roman" w:cs="Times New Roman" w:hint="eastAsia"/>
          <w:sz w:val="32"/>
          <w:szCs w:val="32"/>
        </w:rPr>
        <w:t>75.79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万元，比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年预算数增加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766412">
        <w:rPr>
          <w:rFonts w:ascii="Times New Roman" w:eastAsia="仿宋_GB2312" w:hAnsi="Times New Roman" w:cs="Times New Roman" w:hint="eastAsia"/>
          <w:sz w:val="32"/>
          <w:szCs w:val="32"/>
        </w:rPr>
        <w:t>47.21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万元，增长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766412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②科技馆站（科目编码：</w:t>
      </w:r>
      <w:r>
        <w:rPr>
          <w:rFonts w:ascii="Times New Roman" w:eastAsia="仿宋_GB2312" w:hAnsi="Times New Roman" w:cs="Times New Roman"/>
          <w:sz w:val="32"/>
          <w:szCs w:val="32"/>
        </w:rPr>
        <w:t>206070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年预算数为</w:t>
      </w:r>
      <w:r w:rsidR="00512B51" w:rsidRPr="00512B51">
        <w:rPr>
          <w:rFonts w:ascii="Times New Roman" w:eastAsia="仿宋_GB2312" w:hAnsi="Times New Roman" w:cs="Times New Roman"/>
          <w:sz w:val="32"/>
          <w:szCs w:val="32"/>
        </w:rPr>
        <w:t>1251.58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万元，比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年预算数增加</w:t>
      </w:r>
      <w:r w:rsidR="00512B51">
        <w:rPr>
          <w:rFonts w:ascii="Times New Roman" w:eastAsia="仿宋_GB2312" w:hAnsi="Times New Roman" w:cs="Times New Roman" w:hint="eastAsia"/>
          <w:sz w:val="32"/>
          <w:szCs w:val="32"/>
        </w:rPr>
        <w:t>277.49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万元，增长</w:t>
      </w:r>
      <w:r w:rsidR="00512B51">
        <w:rPr>
          <w:rFonts w:ascii="Times New Roman" w:eastAsia="仿宋_GB2312" w:hAnsi="Times New Roman" w:cs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住房保障支出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）住房改革支出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①住房公积金（科目编码：</w:t>
      </w:r>
      <w:r>
        <w:rPr>
          <w:rFonts w:ascii="Times New Roman" w:eastAsia="仿宋_GB2312" w:hAnsi="Times New Roman" w:cs="Times New Roman"/>
          <w:sz w:val="32"/>
          <w:szCs w:val="32"/>
        </w:rPr>
        <w:t>2210201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年预算数为</w:t>
      </w:r>
      <w:r w:rsidR="00766412">
        <w:rPr>
          <w:rFonts w:ascii="Times New Roman" w:eastAsia="仿宋_GB2312" w:hAnsi="Times New Roman" w:cs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万元，比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年预算数增加</w:t>
      </w:r>
      <w:r w:rsidR="00766412">
        <w:rPr>
          <w:rFonts w:ascii="Times New Roman" w:eastAsia="仿宋_GB2312" w:hAnsi="Times New Roman" w:cs="Times New Roman" w:hint="eastAsia"/>
          <w:sz w:val="32"/>
          <w:szCs w:val="32"/>
        </w:rPr>
        <w:t>4.33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</w:t>
      </w:r>
      <w:r w:rsidR="00766412">
        <w:rPr>
          <w:rFonts w:ascii="Times New Roman" w:eastAsia="仿宋_GB2312" w:hAnsi="Times New Roman" w:cs="Times New Roman" w:hint="eastAsia"/>
          <w:sz w:val="32"/>
          <w:szCs w:val="32"/>
        </w:rPr>
        <w:t>，增长</w:t>
      </w:r>
      <w:r w:rsidR="00766412">
        <w:rPr>
          <w:rFonts w:ascii="Times New Roman" w:eastAsia="仿宋_GB2312" w:hAnsi="Times New Roman" w:cs="Times New Roman" w:hint="eastAsia"/>
          <w:sz w:val="32"/>
          <w:szCs w:val="32"/>
        </w:rPr>
        <w:t>25%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17A9E" w:rsidRDefault="00006745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三、2016年一般公共预算当年财政拨款基本支出情况说明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本部门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年一般公共预算当年财政拨款基本支出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697.79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万元，其中：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人员经费</w:t>
      </w:r>
      <w:r w:rsidR="00E17484">
        <w:rPr>
          <w:rFonts w:ascii="Times New Roman" w:eastAsia="仿宋_GB2312" w:hAnsi="Times New Roman" w:cs="Times New Roman" w:hint="eastAsia"/>
          <w:sz w:val="32"/>
          <w:szCs w:val="32"/>
        </w:rPr>
        <w:t>600.64</w:t>
      </w:r>
      <w:r w:rsidR="00E17484">
        <w:rPr>
          <w:rFonts w:ascii="Times New Roman" w:eastAsia="仿宋_GB2312" w:hAnsi="Times New Roman" w:cs="Times New Roman" w:hint="eastAsia"/>
          <w:sz w:val="32"/>
          <w:szCs w:val="32"/>
        </w:rPr>
        <w:t>万元，主要包括：基本工资、津贴补贴、社会保障缴费、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绩效工资、其他</w:t>
      </w:r>
      <w:r w:rsidR="00E17484">
        <w:rPr>
          <w:rFonts w:ascii="Times New Roman" w:eastAsia="仿宋_GB2312" w:hAnsi="Times New Roman" w:cs="Times New Roman" w:hint="eastAsia"/>
          <w:sz w:val="32"/>
          <w:szCs w:val="32"/>
        </w:rPr>
        <w:t>工资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福利支出、退休费、生活补助、住房公积金、其他对个人和家庭的补助支出。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公用经费</w:t>
      </w:r>
      <w:r w:rsidR="00E17484">
        <w:rPr>
          <w:rFonts w:ascii="Times New Roman" w:eastAsia="仿宋_GB2312" w:hAnsi="Times New Roman" w:cs="Times New Roman" w:hint="eastAsia"/>
          <w:sz w:val="32"/>
          <w:szCs w:val="32"/>
        </w:rPr>
        <w:t>97.15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万元，主要包括：</w:t>
      </w:r>
      <w:r w:rsidR="009E03A1" w:rsidRPr="009E03A1">
        <w:rPr>
          <w:rFonts w:ascii="Times New Roman" w:eastAsia="仿宋_GB2312" w:hAnsi="Times New Roman" w:cs="Times New Roman" w:hint="eastAsia"/>
          <w:sz w:val="32"/>
          <w:szCs w:val="32"/>
        </w:rPr>
        <w:t>社会保障缴费</w:t>
      </w:r>
      <w:r w:rsidR="009E03A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9E03A1" w:rsidRPr="009E03A1">
        <w:rPr>
          <w:rFonts w:ascii="Times New Roman" w:eastAsia="仿宋_GB2312" w:hAnsi="Times New Roman" w:cs="Times New Roman" w:hint="eastAsia"/>
          <w:sz w:val="32"/>
          <w:szCs w:val="32"/>
        </w:rPr>
        <w:t>伙食补助费</w:t>
      </w:r>
      <w:r w:rsidR="009E03A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办公费、租赁费、公务接待费、专用材料费、工会经费、公务用车运行维护费。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/>
          <w:sz w:val="32"/>
          <w:szCs w:val="32"/>
        </w:rPr>
        <w:t>2016</w:t>
      </w:r>
      <w:r>
        <w:rPr>
          <w:rFonts w:ascii="Times New Roman" w:eastAsia="黑体" w:hAnsi="Times New Roman" w:cs="Times New Roman"/>
          <w:sz w:val="32"/>
          <w:szCs w:val="32"/>
        </w:rPr>
        <w:t>年一般公共预算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三公</w:t>
      </w:r>
      <w:r>
        <w:rPr>
          <w:rFonts w:ascii="Times New Roman" w:eastAsia="黑体" w:hAnsi="Times New Roman" w:cs="Times New Roman"/>
          <w:sz w:val="32"/>
          <w:szCs w:val="32"/>
        </w:rPr>
        <w:t>”</w:t>
      </w:r>
      <w:r>
        <w:rPr>
          <w:rFonts w:ascii="Times New Roman" w:eastAsia="黑体" w:hAnsi="Times New Roman" w:cs="Times New Roman"/>
          <w:sz w:val="32"/>
          <w:szCs w:val="32"/>
        </w:rPr>
        <w:t>经费预算情况说明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本部门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经费预算数为</w:t>
      </w:r>
      <w:r>
        <w:rPr>
          <w:rFonts w:ascii="Times New Roman" w:eastAsia="仿宋_GB2312" w:hAnsi="Times New Roman" w:cs="Times New Roman"/>
          <w:sz w:val="32"/>
          <w:szCs w:val="32"/>
        </w:rPr>
        <w:t>24.54</w:t>
      </w:r>
      <w:r>
        <w:rPr>
          <w:rFonts w:ascii="Times New Roman" w:eastAsia="仿宋_GB2312" w:hAnsi="Times New Roman" w:cs="Times New Roman"/>
          <w:sz w:val="32"/>
          <w:szCs w:val="32"/>
        </w:rPr>
        <w:t>万元，其中：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因公出国（境）费用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万元，公车购置费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万元，公车运行维护费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14.04</w:t>
      </w:r>
      <w:r>
        <w:rPr>
          <w:rFonts w:ascii="Times New Roman" w:eastAsia="仿宋_GB2312" w:hAnsi="Times New Roman" w:cs="Times New Roman"/>
          <w:sz w:val="32"/>
          <w:szCs w:val="32"/>
        </w:rPr>
        <w:t>万元，公务接待费</w:t>
      </w:r>
      <w:r w:rsidR="007B52F6">
        <w:rPr>
          <w:rFonts w:ascii="Times New Roman" w:eastAsia="仿宋_GB2312" w:hAnsi="Times New Roman" w:cs="Times New Roman" w:hint="eastAsia"/>
          <w:sz w:val="32"/>
          <w:szCs w:val="32"/>
        </w:rPr>
        <w:t>10.5</w:t>
      </w:r>
      <w:r>
        <w:rPr>
          <w:rFonts w:ascii="Times New Roman" w:eastAsia="仿宋_GB2312" w:hAnsi="Times New Roman" w:cs="Times New Roman"/>
          <w:sz w:val="32"/>
          <w:szCs w:val="32"/>
        </w:rPr>
        <w:t>万元。本部门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年计划出国组团数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个，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人次，计划购置公车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辆，公车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保有数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辆。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经费预算比</w:t>
      </w: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经费预算减少</w:t>
      </w:r>
      <w:r w:rsidR="008D1DEE">
        <w:rPr>
          <w:rFonts w:ascii="Times New Roman" w:eastAsia="仿宋_GB2312" w:hAnsi="Times New Roman" w:cs="Times New Roman" w:hint="eastAsia"/>
          <w:sz w:val="32"/>
          <w:szCs w:val="32"/>
        </w:rPr>
        <w:t>1.1</w:t>
      </w:r>
      <w:r>
        <w:rPr>
          <w:rFonts w:ascii="Times New Roman" w:eastAsia="仿宋_GB2312" w:hAnsi="Times New Roman" w:cs="Times New Roman"/>
          <w:sz w:val="32"/>
          <w:szCs w:val="32"/>
        </w:rPr>
        <w:t>万元，其中：因公出国（境）费用减少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万元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公车购置费减少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万元，公车运行维护费增加减少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万元，公务接待费减少</w:t>
      </w:r>
      <w:r w:rsidR="008D1DEE">
        <w:rPr>
          <w:rFonts w:ascii="Times New Roman" w:eastAsia="仿宋_GB2312" w:hAnsi="Times New Roman" w:cs="Times New Roman" w:hint="eastAsia"/>
          <w:sz w:val="32"/>
          <w:szCs w:val="32"/>
        </w:rPr>
        <w:t>1.1</w:t>
      </w:r>
      <w:r>
        <w:rPr>
          <w:rFonts w:ascii="Times New Roman" w:eastAsia="仿宋_GB2312" w:hAnsi="Times New Roman" w:cs="Times New Roman"/>
          <w:sz w:val="32"/>
          <w:szCs w:val="32"/>
        </w:rPr>
        <w:t>万元，变化的主要原因是：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认真贯彻落实中央八项规定精神和厉行节约要求，进一步从严控制“三公”经费开支，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年公务接待费预算数比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年预算数有所节约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17A9E" w:rsidRDefault="00006745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五、2016年收支预算情况说明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（一）总体情况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按照综合预算的原则，本部门所有收入和支出均纳入部门预算管理。收入包括：财政拨款收入、年初结转和结余。支出包括：科学技术支出、住房保障支出。本部门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年收支总预算</w:t>
      </w:r>
      <w:r w:rsidR="009E03A1" w:rsidRPr="009E03A1">
        <w:rPr>
          <w:rFonts w:ascii="Times New Roman" w:eastAsia="仿宋_GB2312" w:hAnsi="Times New Roman" w:cs="Times New Roman"/>
          <w:sz w:val="32"/>
          <w:szCs w:val="32"/>
        </w:rPr>
        <w:t>2084.55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万元。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（二）收入预算情况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本部门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年收入预算</w:t>
      </w:r>
      <w:r w:rsidR="009E03A1" w:rsidRPr="009E03A1">
        <w:rPr>
          <w:rFonts w:ascii="Times New Roman" w:eastAsia="仿宋_GB2312" w:hAnsi="Times New Roman" w:cs="Times New Roman"/>
          <w:sz w:val="32"/>
          <w:szCs w:val="32"/>
        </w:rPr>
        <w:t>2084.55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万元，其中：一般公共预算拨款收入</w:t>
      </w:r>
      <w:r w:rsidR="009E03A1" w:rsidRPr="009E03A1">
        <w:rPr>
          <w:rFonts w:ascii="Times New Roman" w:eastAsia="仿宋_GB2312" w:hAnsi="Times New Roman" w:cs="Times New Roman"/>
          <w:sz w:val="32"/>
          <w:szCs w:val="32"/>
        </w:rPr>
        <w:t>1987.68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万元，占</w:t>
      </w:r>
      <w:r w:rsidR="009E03A1">
        <w:rPr>
          <w:rFonts w:ascii="Times New Roman" w:eastAsia="仿宋_GB2312" w:hAnsi="Times New Roman" w:cs="Times New Roman" w:hint="eastAsia"/>
          <w:sz w:val="32"/>
          <w:szCs w:val="32"/>
        </w:rPr>
        <w:t>95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；政府性基金预算拨款收入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万元；上级补助收入</w:t>
      </w:r>
      <w:r w:rsidR="009E03A1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万元；事业收入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万元；经营收入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万元；附属单位上缴收入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万元；其他收入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用事业基金弥补收支差额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万元；年初结转和结余</w:t>
      </w:r>
      <w:r w:rsidR="009E03A1" w:rsidRPr="009E03A1">
        <w:rPr>
          <w:rFonts w:ascii="Times New Roman" w:eastAsia="仿宋_GB2312" w:hAnsi="Times New Roman" w:cs="Times New Roman"/>
          <w:sz w:val="32"/>
          <w:szCs w:val="32"/>
        </w:rPr>
        <w:t>96.87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万元，占</w:t>
      </w:r>
      <w:r w:rsidR="00C369EC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（三）支出预算情况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本部门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年支出预算</w:t>
      </w:r>
      <w:r w:rsidR="009E03A1" w:rsidRPr="009E03A1">
        <w:rPr>
          <w:rFonts w:ascii="Times New Roman" w:eastAsia="仿宋_GB2312" w:hAnsi="Times New Roman" w:cs="Times New Roman"/>
          <w:sz w:val="32"/>
          <w:szCs w:val="32"/>
        </w:rPr>
        <w:t>2084.55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万元，其中：基本支出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780.76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万元，占</w:t>
      </w:r>
      <w:r w:rsidR="00C369EC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9E03A1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；项目支出</w:t>
      </w:r>
      <w:r w:rsidR="009E03A1" w:rsidRPr="009E03A1">
        <w:rPr>
          <w:rFonts w:ascii="Times New Roman" w:eastAsia="仿宋_GB2312" w:hAnsi="Times New Roman" w:cs="Times New Roman"/>
          <w:sz w:val="32"/>
          <w:szCs w:val="32"/>
        </w:rPr>
        <w:t>1303.79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万元，占</w:t>
      </w:r>
      <w:r w:rsidR="00C369EC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9E03A1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；上缴上级支出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万元；经营支出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万元；对附属单位补助支出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万元。</w:t>
      </w:r>
    </w:p>
    <w:p w:rsidR="00A17A9E" w:rsidRDefault="00006745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六、其他重要事项的情况说明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（一）机关运行经费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1A5A">
        <w:rPr>
          <w:rFonts w:ascii="Times New Roman" w:eastAsia="仿宋_GB2312" w:hAnsi="Times New Roman" w:cs="Times New Roman" w:hint="eastAsia"/>
          <w:sz w:val="32"/>
          <w:szCs w:val="32"/>
        </w:rPr>
        <w:t>2016</w:t>
      </w:r>
      <w:r w:rsidRPr="00281A5A">
        <w:rPr>
          <w:rFonts w:ascii="Times New Roman" w:eastAsia="仿宋_GB2312" w:hAnsi="Times New Roman" w:cs="Times New Roman" w:hint="eastAsia"/>
          <w:sz w:val="32"/>
          <w:szCs w:val="32"/>
        </w:rPr>
        <w:t>年，部门本级的机关运行经费</w:t>
      </w:r>
      <w:r w:rsidRPr="009E03A1">
        <w:rPr>
          <w:rFonts w:ascii="Times New Roman" w:eastAsia="仿宋_GB2312" w:hAnsi="Times New Roman" w:cs="Times New Roman" w:hint="eastAsia"/>
          <w:sz w:val="32"/>
          <w:szCs w:val="32"/>
        </w:rPr>
        <w:t>财政拨款预算</w:t>
      </w:r>
      <w:r w:rsidRPr="009E03A1">
        <w:rPr>
          <w:rFonts w:ascii="Times New Roman" w:eastAsia="仿宋_GB2312" w:hAnsi="Times New Roman" w:cs="Times New Roman" w:hint="eastAsia"/>
          <w:sz w:val="32"/>
          <w:szCs w:val="32"/>
        </w:rPr>
        <w:t>697.79</w:t>
      </w:r>
      <w:r w:rsidRPr="00281A5A">
        <w:rPr>
          <w:rFonts w:ascii="Times New Roman" w:eastAsia="仿宋_GB2312" w:hAnsi="Times New Roman" w:cs="Times New Roman" w:hint="eastAsia"/>
          <w:sz w:val="32"/>
          <w:szCs w:val="32"/>
        </w:rPr>
        <w:t>万元，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主要是为保障行政单位（包括实行公务员管理的事业单位）运行用于购买货物和服务的各项资金，包括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办公及印刷费、邮电费、差旅费、会议费、福利费、日常维修费、专用材料及一般设备购置费、办公用房水电费、办公用房物业管理费、公务用车运行维护费以及其他费用。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（二）政府采购情况</w:t>
      </w:r>
    </w:p>
    <w:p w:rsidR="00A17A9E" w:rsidRDefault="0000674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年，部门本级的政府采购预算总额</w:t>
      </w:r>
      <w:r w:rsidR="009E03A1" w:rsidRPr="009E03A1">
        <w:rPr>
          <w:rFonts w:ascii="Times New Roman" w:eastAsia="仿宋_GB2312" w:hAnsi="Times New Roman" w:cs="Times New Roman"/>
          <w:sz w:val="32"/>
          <w:szCs w:val="32"/>
        </w:rPr>
        <w:t>915.48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万元，其中：政府采购货物预算</w:t>
      </w:r>
      <w:r w:rsidR="009E03A1" w:rsidRPr="009E03A1">
        <w:rPr>
          <w:rFonts w:ascii="Times New Roman" w:eastAsia="仿宋_GB2312" w:hAnsi="Times New Roman" w:cs="Times New Roman"/>
          <w:sz w:val="32"/>
          <w:szCs w:val="32"/>
        </w:rPr>
        <w:t>215.33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万元，占</w:t>
      </w:r>
      <w:r w:rsidR="00544C08"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；政府采购工程预算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万元；政府采购服务预算</w:t>
      </w:r>
      <w:r w:rsidR="009E03A1" w:rsidRPr="009E03A1">
        <w:rPr>
          <w:rFonts w:ascii="Times New Roman" w:eastAsia="仿宋_GB2312" w:hAnsi="Times New Roman" w:cs="Times New Roman"/>
          <w:sz w:val="32"/>
          <w:szCs w:val="32"/>
        </w:rPr>
        <w:t>700.15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万元，占</w:t>
      </w:r>
      <w:r w:rsidR="00544C08">
        <w:rPr>
          <w:rFonts w:ascii="Times New Roman" w:eastAsia="仿宋_GB2312" w:hAnsi="Times New Roman" w:cs="Times New Roman" w:hint="eastAsia"/>
          <w:sz w:val="32"/>
          <w:szCs w:val="32"/>
        </w:rPr>
        <w:t>76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17A9E" w:rsidRDefault="00A17A9E" w:rsidP="0011408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44C08" w:rsidRPr="0011408B" w:rsidRDefault="00544C08" w:rsidP="0011408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A17A9E" w:rsidRPr="009E03A1" w:rsidRDefault="00A17A9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17A9E" w:rsidRDefault="00006745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第三部分</w:t>
      </w:r>
      <w:r>
        <w:rPr>
          <w:rFonts w:ascii="Times New Roman" w:eastAsia="黑体" w:hAnsi="Times New Roman" w:cs="Times New Roman"/>
          <w:sz w:val="32"/>
          <w:szCs w:val="32"/>
        </w:rPr>
        <w:t xml:space="preserve"> 2016</w:t>
      </w:r>
      <w:r>
        <w:rPr>
          <w:rFonts w:ascii="Times New Roman" w:eastAsia="黑体" w:hAnsi="Times New Roman" w:cs="Times New Roman"/>
          <w:sz w:val="32"/>
          <w:szCs w:val="32"/>
        </w:rPr>
        <w:t>年部门预算表</w:t>
      </w:r>
    </w:p>
    <w:p w:rsidR="00A17A9E" w:rsidRDefault="00006745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详见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预算</w:t>
      </w:r>
      <w:r>
        <w:rPr>
          <w:rFonts w:ascii="Times New Roman" w:eastAsia="仿宋_GB2312" w:hAnsi="Times New Roman" w:cs="Times New Roman"/>
          <w:sz w:val="32"/>
          <w:szCs w:val="32"/>
        </w:rPr>
        <w:t>表</w:t>
      </w:r>
      <w:r>
        <w:rPr>
          <w:rFonts w:ascii="Times New Roman" w:eastAsia="仿宋_GB2312" w:hAnsi="Times New Roman" w:cs="Times New Roman"/>
          <w:sz w:val="32"/>
          <w:szCs w:val="32"/>
        </w:rPr>
        <w:t>1-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，请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参见</w:t>
      </w:r>
      <w:r>
        <w:rPr>
          <w:rFonts w:ascii="Times New Roman" w:eastAsia="仿宋_GB2312" w:hAnsi="Times New Roman" w:cs="Times New Roman"/>
          <w:sz w:val="32"/>
          <w:szCs w:val="32"/>
        </w:rPr>
        <w:t>附件。</w:t>
      </w:r>
    </w:p>
    <w:tbl>
      <w:tblPr>
        <w:tblStyle w:val="a6"/>
        <w:tblW w:w="8522" w:type="dxa"/>
        <w:tblLayout w:type="fixed"/>
        <w:tblLook w:val="04A0"/>
      </w:tblPr>
      <w:tblGrid>
        <w:gridCol w:w="1951"/>
        <w:gridCol w:w="6571"/>
      </w:tblGrid>
      <w:tr w:rsidR="00A17A9E">
        <w:tc>
          <w:tcPr>
            <w:tcW w:w="1951" w:type="dxa"/>
          </w:tcPr>
          <w:p w:rsidR="00A17A9E" w:rsidRDefault="0000674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表号</w:t>
            </w:r>
          </w:p>
        </w:tc>
        <w:tc>
          <w:tcPr>
            <w:tcW w:w="6571" w:type="dxa"/>
          </w:tcPr>
          <w:p w:rsidR="00A17A9E" w:rsidRDefault="0000674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表名</w:t>
            </w:r>
          </w:p>
        </w:tc>
      </w:tr>
      <w:tr w:rsidR="00A17A9E">
        <w:tc>
          <w:tcPr>
            <w:tcW w:w="1951" w:type="dxa"/>
          </w:tcPr>
          <w:p w:rsidR="00A17A9E" w:rsidRDefault="0000674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预算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表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571" w:type="dxa"/>
          </w:tcPr>
          <w:p w:rsidR="00A17A9E" w:rsidRDefault="00A858B4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2016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="00006745">
              <w:rPr>
                <w:rFonts w:ascii="Times New Roman" w:eastAsia="仿宋_GB2312" w:hAnsi="Times New Roman" w:cs="Times New Roman"/>
                <w:sz w:val="32"/>
                <w:szCs w:val="32"/>
              </w:rPr>
              <w:t>财政拨款收支总表</w:t>
            </w:r>
          </w:p>
        </w:tc>
      </w:tr>
      <w:tr w:rsidR="00A17A9E">
        <w:tc>
          <w:tcPr>
            <w:tcW w:w="1951" w:type="dxa"/>
          </w:tcPr>
          <w:p w:rsidR="00A17A9E" w:rsidRDefault="0000674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预算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表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571" w:type="dxa"/>
          </w:tcPr>
          <w:p w:rsidR="00A17A9E" w:rsidRDefault="00A858B4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2016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="00006745">
              <w:rPr>
                <w:rFonts w:ascii="Times New Roman" w:eastAsia="仿宋_GB2312" w:hAnsi="Times New Roman" w:cs="Times New Roman"/>
                <w:sz w:val="32"/>
                <w:szCs w:val="32"/>
              </w:rPr>
              <w:t>一般公共预算支出表</w:t>
            </w:r>
          </w:p>
        </w:tc>
      </w:tr>
      <w:tr w:rsidR="00A17A9E">
        <w:tc>
          <w:tcPr>
            <w:tcW w:w="1951" w:type="dxa"/>
          </w:tcPr>
          <w:p w:rsidR="00A17A9E" w:rsidRDefault="0000674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预算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表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  <w:r w:rsidR="00A858B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-1</w:t>
            </w:r>
          </w:p>
        </w:tc>
        <w:tc>
          <w:tcPr>
            <w:tcW w:w="6571" w:type="dxa"/>
          </w:tcPr>
          <w:p w:rsidR="00A17A9E" w:rsidRDefault="00A858B4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2016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="00006745">
              <w:rPr>
                <w:rFonts w:ascii="Times New Roman" w:eastAsia="仿宋_GB2312" w:hAnsi="Times New Roman" w:cs="Times New Roman"/>
                <w:sz w:val="32"/>
                <w:szCs w:val="32"/>
              </w:rPr>
              <w:t>一般公共预算基本支出表</w:t>
            </w:r>
          </w:p>
        </w:tc>
      </w:tr>
      <w:tr w:rsidR="00A858B4">
        <w:tc>
          <w:tcPr>
            <w:tcW w:w="1951" w:type="dxa"/>
          </w:tcPr>
          <w:p w:rsidR="00A858B4" w:rsidRDefault="00A858B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预算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表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-2</w:t>
            </w:r>
          </w:p>
        </w:tc>
        <w:tc>
          <w:tcPr>
            <w:tcW w:w="6571" w:type="dxa"/>
          </w:tcPr>
          <w:p w:rsidR="00A858B4" w:rsidRDefault="00A858B4" w:rsidP="00A858B4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2016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一般公共预算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项目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支出表</w:t>
            </w:r>
          </w:p>
        </w:tc>
      </w:tr>
      <w:tr w:rsidR="00A17A9E">
        <w:tc>
          <w:tcPr>
            <w:tcW w:w="1951" w:type="dxa"/>
          </w:tcPr>
          <w:p w:rsidR="00A17A9E" w:rsidRDefault="0000674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预算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表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571" w:type="dxa"/>
          </w:tcPr>
          <w:p w:rsidR="00A17A9E" w:rsidRDefault="00A858B4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2016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="00006745">
              <w:rPr>
                <w:rFonts w:ascii="Times New Roman" w:eastAsia="仿宋_GB2312" w:hAnsi="Times New Roman" w:cs="Times New Roman"/>
                <w:sz w:val="32"/>
                <w:szCs w:val="32"/>
              </w:rPr>
              <w:t>一般公共预算</w:t>
            </w:r>
            <w:r w:rsidR="00006745">
              <w:rPr>
                <w:rFonts w:ascii="Times New Roman" w:eastAsia="仿宋_GB2312" w:hAnsi="Times New Roman" w:cs="Times New Roman"/>
                <w:sz w:val="32"/>
                <w:szCs w:val="32"/>
              </w:rPr>
              <w:t>“</w:t>
            </w:r>
            <w:r w:rsidR="00006745">
              <w:rPr>
                <w:rFonts w:ascii="Times New Roman" w:eastAsia="仿宋_GB2312" w:hAnsi="Times New Roman" w:cs="Times New Roman"/>
                <w:sz w:val="32"/>
                <w:szCs w:val="32"/>
              </w:rPr>
              <w:t>三公</w:t>
            </w:r>
            <w:r w:rsidR="00006745">
              <w:rPr>
                <w:rFonts w:ascii="Times New Roman" w:eastAsia="仿宋_GB2312" w:hAnsi="Times New Roman" w:cs="Times New Roman"/>
                <w:sz w:val="32"/>
                <w:szCs w:val="32"/>
              </w:rPr>
              <w:t>”</w:t>
            </w:r>
            <w:r w:rsidR="00006745">
              <w:rPr>
                <w:rFonts w:ascii="Times New Roman" w:eastAsia="仿宋_GB2312" w:hAnsi="Times New Roman" w:cs="Times New Roman"/>
                <w:sz w:val="32"/>
                <w:szCs w:val="32"/>
              </w:rPr>
              <w:t>经费支出表</w:t>
            </w:r>
          </w:p>
        </w:tc>
      </w:tr>
      <w:tr w:rsidR="00A17A9E">
        <w:tc>
          <w:tcPr>
            <w:tcW w:w="1951" w:type="dxa"/>
          </w:tcPr>
          <w:p w:rsidR="00A17A9E" w:rsidRDefault="0000674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预算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表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571" w:type="dxa"/>
          </w:tcPr>
          <w:p w:rsidR="00A17A9E" w:rsidRDefault="00A858B4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2016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="00006745">
              <w:rPr>
                <w:rFonts w:ascii="Times New Roman" w:eastAsia="仿宋_GB2312" w:hAnsi="Times New Roman" w:cs="Times New Roman"/>
                <w:sz w:val="32"/>
                <w:szCs w:val="32"/>
              </w:rPr>
              <w:t>政府性基金预算支出表</w:t>
            </w:r>
          </w:p>
        </w:tc>
      </w:tr>
      <w:tr w:rsidR="00A17A9E">
        <w:tc>
          <w:tcPr>
            <w:tcW w:w="1951" w:type="dxa"/>
          </w:tcPr>
          <w:p w:rsidR="00A17A9E" w:rsidRDefault="0000674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预算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表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571" w:type="dxa"/>
          </w:tcPr>
          <w:p w:rsidR="00A17A9E" w:rsidRDefault="00A858B4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2016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="00006745">
              <w:rPr>
                <w:rFonts w:ascii="Times New Roman" w:eastAsia="仿宋_GB2312" w:hAnsi="Times New Roman" w:cs="Times New Roman"/>
                <w:sz w:val="32"/>
                <w:szCs w:val="32"/>
              </w:rPr>
              <w:t>部门收支总表</w:t>
            </w:r>
          </w:p>
        </w:tc>
      </w:tr>
      <w:tr w:rsidR="00A17A9E">
        <w:tc>
          <w:tcPr>
            <w:tcW w:w="1951" w:type="dxa"/>
          </w:tcPr>
          <w:p w:rsidR="00A17A9E" w:rsidRDefault="0000674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预算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表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571" w:type="dxa"/>
          </w:tcPr>
          <w:p w:rsidR="00A17A9E" w:rsidRDefault="00A858B4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2016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="00006745">
              <w:rPr>
                <w:rFonts w:ascii="Times New Roman" w:eastAsia="仿宋_GB2312" w:hAnsi="Times New Roman" w:cs="Times New Roman"/>
                <w:sz w:val="32"/>
                <w:szCs w:val="32"/>
              </w:rPr>
              <w:t>部门收入总表</w:t>
            </w:r>
          </w:p>
        </w:tc>
      </w:tr>
      <w:tr w:rsidR="00A17A9E">
        <w:tc>
          <w:tcPr>
            <w:tcW w:w="1951" w:type="dxa"/>
          </w:tcPr>
          <w:p w:rsidR="00A17A9E" w:rsidRDefault="0000674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预算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表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571" w:type="dxa"/>
          </w:tcPr>
          <w:p w:rsidR="00A17A9E" w:rsidRDefault="00A858B4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2016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="00006745">
              <w:rPr>
                <w:rFonts w:ascii="Times New Roman" w:eastAsia="仿宋_GB2312" w:hAnsi="Times New Roman" w:cs="Times New Roman"/>
                <w:sz w:val="32"/>
                <w:szCs w:val="32"/>
              </w:rPr>
              <w:t>部门支出总表</w:t>
            </w:r>
          </w:p>
        </w:tc>
      </w:tr>
      <w:tr w:rsidR="00A17A9E">
        <w:tc>
          <w:tcPr>
            <w:tcW w:w="1951" w:type="dxa"/>
          </w:tcPr>
          <w:p w:rsidR="00A17A9E" w:rsidRDefault="0000674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预算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表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6571" w:type="dxa"/>
          </w:tcPr>
          <w:p w:rsidR="00A17A9E" w:rsidRDefault="00A858B4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2016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="0000674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政府采购预算表</w:t>
            </w:r>
          </w:p>
        </w:tc>
      </w:tr>
    </w:tbl>
    <w:p w:rsidR="00A17A9E" w:rsidRDefault="00A17A9E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A17A9E" w:rsidSect="00A17A9E"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D3" w:rsidRDefault="000B7FD3" w:rsidP="00A17A9E">
      <w:r>
        <w:separator/>
      </w:r>
    </w:p>
  </w:endnote>
  <w:endnote w:type="continuationSeparator" w:id="0">
    <w:p w:rsidR="000B7FD3" w:rsidRDefault="000B7FD3" w:rsidP="00A17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685852"/>
    </w:sdtPr>
    <w:sdtContent>
      <w:p w:rsidR="00A17A9E" w:rsidRDefault="00657A3E">
        <w:pPr>
          <w:pStyle w:val="a4"/>
          <w:jc w:val="center"/>
        </w:pPr>
        <w:r>
          <w:fldChar w:fldCharType="begin"/>
        </w:r>
        <w:r w:rsidR="00006745">
          <w:instrText>PAGE   \* MERGEFORMAT</w:instrText>
        </w:r>
        <w:r>
          <w:fldChar w:fldCharType="separate"/>
        </w:r>
        <w:r w:rsidR="00E17484" w:rsidRPr="00E17484">
          <w:rPr>
            <w:noProof/>
            <w:lang w:val="zh-CN"/>
          </w:rPr>
          <w:t>7</w:t>
        </w:r>
        <w:r>
          <w:fldChar w:fldCharType="end"/>
        </w:r>
      </w:p>
    </w:sdtContent>
  </w:sdt>
  <w:p w:rsidR="00A17A9E" w:rsidRDefault="00A17A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D3" w:rsidRDefault="000B7FD3" w:rsidP="00A17A9E">
      <w:r>
        <w:separator/>
      </w:r>
    </w:p>
  </w:footnote>
  <w:footnote w:type="continuationSeparator" w:id="0">
    <w:p w:rsidR="000B7FD3" w:rsidRDefault="000B7FD3" w:rsidP="00A17A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412"/>
    <w:rsid w:val="00006745"/>
    <w:rsid w:val="00087F45"/>
    <w:rsid w:val="000B7FD3"/>
    <w:rsid w:val="000C2039"/>
    <w:rsid w:val="000D6C81"/>
    <w:rsid w:val="001000FB"/>
    <w:rsid w:val="00101284"/>
    <w:rsid w:val="0011408B"/>
    <w:rsid w:val="00144C88"/>
    <w:rsid w:val="001519AD"/>
    <w:rsid w:val="00156ACC"/>
    <w:rsid w:val="0016144D"/>
    <w:rsid w:val="0016521F"/>
    <w:rsid w:val="00180F1F"/>
    <w:rsid w:val="00197E54"/>
    <w:rsid w:val="001C589E"/>
    <w:rsid w:val="00203959"/>
    <w:rsid w:val="00203FBC"/>
    <w:rsid w:val="00213F3B"/>
    <w:rsid w:val="00216625"/>
    <w:rsid w:val="002300D7"/>
    <w:rsid w:val="00256189"/>
    <w:rsid w:val="00281A5A"/>
    <w:rsid w:val="002B5CF3"/>
    <w:rsid w:val="002C2444"/>
    <w:rsid w:val="002E7312"/>
    <w:rsid w:val="002E7906"/>
    <w:rsid w:val="002F04EF"/>
    <w:rsid w:val="00310F96"/>
    <w:rsid w:val="00326CB1"/>
    <w:rsid w:val="003313CE"/>
    <w:rsid w:val="003402E4"/>
    <w:rsid w:val="00347B34"/>
    <w:rsid w:val="003809AC"/>
    <w:rsid w:val="00381456"/>
    <w:rsid w:val="00382412"/>
    <w:rsid w:val="003856DE"/>
    <w:rsid w:val="003A6701"/>
    <w:rsid w:val="0041378F"/>
    <w:rsid w:val="00431792"/>
    <w:rsid w:val="0043192F"/>
    <w:rsid w:val="00434078"/>
    <w:rsid w:val="004345BD"/>
    <w:rsid w:val="00451C48"/>
    <w:rsid w:val="00464D5A"/>
    <w:rsid w:val="004654FE"/>
    <w:rsid w:val="00470393"/>
    <w:rsid w:val="004A1C5C"/>
    <w:rsid w:val="004A2B86"/>
    <w:rsid w:val="004C6670"/>
    <w:rsid w:val="004D399B"/>
    <w:rsid w:val="004E37FD"/>
    <w:rsid w:val="004F014A"/>
    <w:rsid w:val="00512B51"/>
    <w:rsid w:val="005156A2"/>
    <w:rsid w:val="00521DC7"/>
    <w:rsid w:val="00544C08"/>
    <w:rsid w:val="00550794"/>
    <w:rsid w:val="00574199"/>
    <w:rsid w:val="00592CE7"/>
    <w:rsid w:val="005D78E4"/>
    <w:rsid w:val="005E6B62"/>
    <w:rsid w:val="005F1CEA"/>
    <w:rsid w:val="005F49E5"/>
    <w:rsid w:val="00641E4D"/>
    <w:rsid w:val="00645FE2"/>
    <w:rsid w:val="00647005"/>
    <w:rsid w:val="0065150B"/>
    <w:rsid w:val="00657A3E"/>
    <w:rsid w:val="006641FD"/>
    <w:rsid w:val="00671B7E"/>
    <w:rsid w:val="00681FB1"/>
    <w:rsid w:val="006937F2"/>
    <w:rsid w:val="006B03BF"/>
    <w:rsid w:val="00702D73"/>
    <w:rsid w:val="0071233D"/>
    <w:rsid w:val="00712D1F"/>
    <w:rsid w:val="007171AD"/>
    <w:rsid w:val="00744C8D"/>
    <w:rsid w:val="00766412"/>
    <w:rsid w:val="007668B5"/>
    <w:rsid w:val="007822D5"/>
    <w:rsid w:val="007937E4"/>
    <w:rsid w:val="007B52F6"/>
    <w:rsid w:val="007C2217"/>
    <w:rsid w:val="007E292D"/>
    <w:rsid w:val="007F2FAB"/>
    <w:rsid w:val="0081561B"/>
    <w:rsid w:val="008206E1"/>
    <w:rsid w:val="008408EC"/>
    <w:rsid w:val="00864A1A"/>
    <w:rsid w:val="00883E5C"/>
    <w:rsid w:val="008903A2"/>
    <w:rsid w:val="008A351C"/>
    <w:rsid w:val="008B2A49"/>
    <w:rsid w:val="008B4575"/>
    <w:rsid w:val="008B794E"/>
    <w:rsid w:val="008D1C3E"/>
    <w:rsid w:val="008D1DEE"/>
    <w:rsid w:val="008D6AFE"/>
    <w:rsid w:val="00902728"/>
    <w:rsid w:val="00915EA7"/>
    <w:rsid w:val="00916EB4"/>
    <w:rsid w:val="00976D81"/>
    <w:rsid w:val="009861DC"/>
    <w:rsid w:val="009A1C21"/>
    <w:rsid w:val="009B5280"/>
    <w:rsid w:val="009C339A"/>
    <w:rsid w:val="009D02F1"/>
    <w:rsid w:val="009E03A1"/>
    <w:rsid w:val="009E4400"/>
    <w:rsid w:val="00A07851"/>
    <w:rsid w:val="00A17A9E"/>
    <w:rsid w:val="00A43237"/>
    <w:rsid w:val="00A7207A"/>
    <w:rsid w:val="00A858B4"/>
    <w:rsid w:val="00A93660"/>
    <w:rsid w:val="00AC4B57"/>
    <w:rsid w:val="00B071F5"/>
    <w:rsid w:val="00B113F5"/>
    <w:rsid w:val="00B15430"/>
    <w:rsid w:val="00B20658"/>
    <w:rsid w:val="00B329A5"/>
    <w:rsid w:val="00B639AB"/>
    <w:rsid w:val="00B73A19"/>
    <w:rsid w:val="00B7737B"/>
    <w:rsid w:val="00B81F23"/>
    <w:rsid w:val="00BC080D"/>
    <w:rsid w:val="00BD6A8F"/>
    <w:rsid w:val="00C06D46"/>
    <w:rsid w:val="00C12E2E"/>
    <w:rsid w:val="00C21937"/>
    <w:rsid w:val="00C369EC"/>
    <w:rsid w:val="00C4372D"/>
    <w:rsid w:val="00C57F59"/>
    <w:rsid w:val="00C62410"/>
    <w:rsid w:val="00C76610"/>
    <w:rsid w:val="00D02139"/>
    <w:rsid w:val="00D23708"/>
    <w:rsid w:val="00D25B82"/>
    <w:rsid w:val="00D37959"/>
    <w:rsid w:val="00D63E40"/>
    <w:rsid w:val="00DA7C17"/>
    <w:rsid w:val="00DB1E3D"/>
    <w:rsid w:val="00DB4548"/>
    <w:rsid w:val="00DB55CE"/>
    <w:rsid w:val="00DE682C"/>
    <w:rsid w:val="00DF26D6"/>
    <w:rsid w:val="00DF52EA"/>
    <w:rsid w:val="00E13867"/>
    <w:rsid w:val="00E17484"/>
    <w:rsid w:val="00E22E67"/>
    <w:rsid w:val="00E36EDD"/>
    <w:rsid w:val="00E60A59"/>
    <w:rsid w:val="00E66D5E"/>
    <w:rsid w:val="00E77156"/>
    <w:rsid w:val="00E83E39"/>
    <w:rsid w:val="00EA131A"/>
    <w:rsid w:val="00EB2B04"/>
    <w:rsid w:val="00EB2D63"/>
    <w:rsid w:val="00EC312E"/>
    <w:rsid w:val="00ED453C"/>
    <w:rsid w:val="00F22D1F"/>
    <w:rsid w:val="00F405F5"/>
    <w:rsid w:val="00F46C79"/>
    <w:rsid w:val="00F60F7D"/>
    <w:rsid w:val="00F83552"/>
    <w:rsid w:val="00F96098"/>
    <w:rsid w:val="00FA06F8"/>
    <w:rsid w:val="00FA74EE"/>
    <w:rsid w:val="00FD6F9B"/>
    <w:rsid w:val="00FF22BB"/>
    <w:rsid w:val="055E085F"/>
    <w:rsid w:val="0ACD1EB4"/>
    <w:rsid w:val="75C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17A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17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A17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无间隔1"/>
    <w:link w:val="Char2"/>
    <w:uiPriority w:val="1"/>
    <w:qFormat/>
    <w:rsid w:val="00A17A9E"/>
    <w:rPr>
      <w:sz w:val="22"/>
      <w:szCs w:val="22"/>
    </w:rPr>
  </w:style>
  <w:style w:type="character" w:customStyle="1" w:styleId="Char2">
    <w:name w:val="无间隔 Char"/>
    <w:basedOn w:val="a0"/>
    <w:link w:val="1"/>
    <w:uiPriority w:val="1"/>
    <w:rsid w:val="00A17A9E"/>
    <w:rPr>
      <w:kern w:val="0"/>
      <w:sz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17A9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17A9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A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280505-A504-4C4A-8CB9-95CBB905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429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2016年东莞科学馆       部门预算   </dc:title>
  <dc:creator>李峰</dc:creator>
  <cp:lastModifiedBy>q</cp:lastModifiedBy>
  <cp:revision>8</cp:revision>
  <cp:lastPrinted>2016-03-24T01:21:00Z</cp:lastPrinted>
  <dcterms:created xsi:type="dcterms:W3CDTF">2016-03-16T07:02:00Z</dcterms:created>
  <dcterms:modified xsi:type="dcterms:W3CDTF">2016-03-24T01:41:00Z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