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eastAsia="华康简标题宋"/>
          <w:sz w:val="44"/>
          <w:szCs w:val="44"/>
        </w:rPr>
      </w:pPr>
      <w:r>
        <w:rPr>
          <w:rFonts w:hint="eastAsia" w:eastAsia="华康简标题宋"/>
          <w:sz w:val="44"/>
          <w:szCs w:val="44"/>
        </w:rPr>
        <w:t>2015年度科普活动项目结余资金一览表</w:t>
      </w:r>
    </w:p>
    <w:tbl>
      <w:tblPr>
        <w:tblStyle w:val="3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708"/>
        <w:gridCol w:w="2694"/>
        <w:gridCol w:w="2268"/>
        <w:gridCol w:w="1559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类别:学术交流活动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资助金额(万元)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项目结余资金（万元）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 w:cs="宋体"/>
                <w:sz w:val="24"/>
              </w:rPr>
            </w:pPr>
            <w:r>
              <w:rPr>
                <w:rFonts w:ascii="Times" w:hAnsi="Times" w:eastAsia="仿宋_GB2312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成人心血管急症与心肺复苏术的科普巡讲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东莞市第五人民医院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4.64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 w:cs="宋体"/>
                <w:sz w:val="24"/>
              </w:rPr>
            </w:pPr>
            <w:r>
              <w:rPr>
                <w:rFonts w:ascii="Times" w:hAnsi="Times" w:eastAsia="仿宋_GB2312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大功率LED驱动电源散热处理专题研讨会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东莞市前锋电子有限公司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类别:科技人员继续教育与培训活动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资助金额(万元)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项目结余资金（万元）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提升科技人员知识产权管理水平培训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广东莞信律师事务所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6.55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" w:hAnsi="Times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类别:全民科学素质提升活动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资助金额(万元)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项目结余资金（万元）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泛珠三角科技教育论坛暨国际青少年创客挑战赛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东莞外国语学校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0.920335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预防网络成瘾，保障青少年身心健康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东莞市疾病预防控制中心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2.5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0.97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类别:青少年科技创新活动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资助金额(万元)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项目结余资金（万元）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长安镇青少年科技创新与动手制作系列竞赛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东莞市长安镇科学技术协会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0.097048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樟木头镇青少年创客系列活动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东莞市樟木头镇科学技术协会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0.262734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樟木头镇机器人创意拼装比赛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东莞市樟木头镇科学技术协会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0.03182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东莞市大学生科技创新创业大赛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东莞理工学院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4.6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0.0323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合 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15.504237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63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2017-07-03T01:13:46Z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