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 w:leftChars="-178" w:hanging="800" w:hanging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3"/>
        <w:tblW w:w="8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852"/>
        <w:gridCol w:w="1308"/>
        <w:gridCol w:w="1244"/>
        <w:gridCol w:w="1275"/>
        <w:gridCol w:w="1276"/>
        <w:gridCol w:w="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kern w:val="0"/>
                <w:sz w:val="36"/>
                <w:szCs w:val="36"/>
              </w:rPr>
              <w:t>院士情况统计表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填报单位（盖章）：                             填报时间：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28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28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28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本地院士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31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双聘院士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5" w:type="dxa"/>
          <w:trHeight w:val="31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院士培养对象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备注：1、本表所统计院士只限于中国科学院院士、中国工程院院士及俄罗斯外籍院士； 2、此表每季度需OA报送至“科协秘书处”或发送至邮箱dgkxmsc@163.com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EU-BZ-S92">
    <w:altName w:val="Arial Unicode MS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E742C"/>
    <w:rsid w:val="2D9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2018-01-25T02:21:00Z</dcterms:created>
  <dc:creator>Administrator</dc:creator>
  <cp:lastModifiedBy>Administrator</cp:lastModifiedBy>
  <dcterms:modified xsi:type="dcterms:W3CDTF">2018-01-25T02:22:25Z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