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黑体" w:hAnsi="黑体" w:eastAsia="黑体"/>
          <w:color w:val="000000"/>
          <w:sz w:val="32"/>
          <w:szCs w:val="32"/>
        </w:rPr>
      </w:pPr>
      <w:r>
        <w:rPr>
          <w:rFonts w:ascii="黑体" w:hAnsi="黑体" w:eastAsia="黑体"/>
          <w:color w:val="000000"/>
          <w:sz w:val="32"/>
          <w:szCs w:val="32"/>
        </w:rPr>
        <w:t>附件1</w:t>
      </w:r>
    </w:p>
    <w:p>
      <w:pPr>
        <w:pStyle w:val="2"/>
        <w:spacing w:line="600" w:lineRule="exact"/>
        <w:rPr>
          <w:rFonts w:ascii="黑体" w:hAnsi="黑体" w:eastAsia="黑体"/>
          <w:color w:val="000000"/>
          <w:sz w:val="32"/>
          <w:szCs w:val="32"/>
        </w:rPr>
      </w:pPr>
    </w:p>
    <w:p>
      <w:pPr>
        <w:pStyle w:val="2"/>
        <w:spacing w:line="520" w:lineRule="exact"/>
        <w:jc w:val="center"/>
        <w:rPr>
          <w:rFonts w:hint="eastAsia" w:ascii="Times New Roman" w:hAnsi="Times New Roman" w:eastAsia="华康简标题宋"/>
          <w:color w:val="000000"/>
          <w:sz w:val="44"/>
          <w:szCs w:val="44"/>
        </w:rPr>
      </w:pPr>
      <w:r>
        <w:rPr>
          <w:rFonts w:hint="eastAsia" w:ascii="Times New Roman" w:hAnsi="Times New Roman" w:eastAsia="华康简标题宋"/>
          <w:color w:val="000000"/>
          <w:sz w:val="44"/>
          <w:szCs w:val="44"/>
        </w:rPr>
        <w:t>第九届东莞市科普报告希望行专家简介</w:t>
      </w:r>
    </w:p>
    <w:p>
      <w:pPr>
        <w:pStyle w:val="2"/>
        <w:spacing w:line="520" w:lineRule="exact"/>
        <w:jc w:val="center"/>
        <w:rPr>
          <w:rFonts w:hint="eastAsia" w:ascii="Times New Roman" w:hAnsi="Times New Roman" w:eastAsia="华康简标题宋"/>
          <w:color w:val="000000"/>
          <w:sz w:val="44"/>
          <w:szCs w:val="44"/>
        </w:rPr>
      </w:pPr>
    </w:p>
    <w:tbl>
      <w:tblPr>
        <w:tblStyle w:val="4"/>
        <w:tblW w:w="9257"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276"/>
        <w:gridCol w:w="992"/>
        <w:gridCol w:w="6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blHeader/>
          <w:jc w:val="center"/>
        </w:trPr>
        <w:tc>
          <w:tcPr>
            <w:tcW w:w="979" w:type="dxa"/>
            <w:vAlign w:val="center"/>
          </w:tcPr>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序号</w:t>
            </w:r>
          </w:p>
        </w:tc>
        <w:tc>
          <w:tcPr>
            <w:tcW w:w="1276" w:type="dxa"/>
            <w:vAlign w:val="center"/>
          </w:tcPr>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姓 名</w:t>
            </w:r>
          </w:p>
        </w:tc>
        <w:tc>
          <w:tcPr>
            <w:tcW w:w="992" w:type="dxa"/>
            <w:vAlign w:val="center"/>
          </w:tcPr>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性别</w:t>
            </w:r>
          </w:p>
        </w:tc>
        <w:tc>
          <w:tcPr>
            <w:tcW w:w="6010" w:type="dxa"/>
            <w:vAlign w:val="center"/>
          </w:tcPr>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3"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1</w:t>
            </w:r>
          </w:p>
        </w:tc>
        <w:tc>
          <w:tcPr>
            <w:tcW w:w="1276"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徐德诗</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男</w:t>
            </w:r>
          </w:p>
        </w:tc>
        <w:tc>
          <w:tcPr>
            <w:tcW w:w="6010" w:type="dxa"/>
            <w:vAlign w:val="center"/>
          </w:tcPr>
          <w:p>
            <w:pPr>
              <w:autoSpaceDE w:val="0"/>
              <w:autoSpaceDN w:val="0"/>
              <w:adjustRightInd w:val="0"/>
              <w:spacing w:line="400" w:lineRule="exact"/>
              <w:ind w:right="-1"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rPr>
              <w:t>中国地震局研究员、原中国国际救援队领队。长期从事防震减灾技术管理工作，曾任天津市地震局局长、中国地震局监测预报司司长、镇灾应急救援司首任司长。曾多次赴国内外地震现场应急救援，2001年受命主持组建我国第一只国家地震灾害紧急救援队并带队参加首次国内、首次国际地震紧急救援行动。曾获“五一”劳动奖章以及科技进步奖。现为《中国防震减灾百科全书》应急与救援卷主编、中国地震学会晋及工作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0"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2</w:t>
            </w:r>
          </w:p>
        </w:tc>
        <w:tc>
          <w:tcPr>
            <w:tcW w:w="1276"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孙万儒</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男</w:t>
            </w:r>
          </w:p>
        </w:tc>
        <w:tc>
          <w:tcPr>
            <w:tcW w:w="6010" w:type="dxa"/>
            <w:vAlign w:val="center"/>
          </w:tcPr>
          <w:p>
            <w:pPr>
              <w:autoSpaceDE w:val="0"/>
              <w:autoSpaceDN w:val="0"/>
              <w:adjustRightInd w:val="0"/>
              <w:spacing w:line="400" w:lineRule="exact"/>
              <w:ind w:right="-1"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rPr>
              <w:t>中国科学院微生物研究所研究员、博士生导师。从事酶学、酶工程、基因工程、发酵工程和生化工程研究。参与我国北方生物工程中试基地筹备和建设，主持多项国家重点科技攻关项目、国家自然科学基金重大项目、中国科学院重大项目。率先在国内开展手性生物合成研究，在利用基因工程、蛋白质工程、酶工程解决手性药物与手性化合物的生物合成研究中，取得多项重要成果。发表论文90多篇，专著4本，曾获多项国家发明奖、科技进步奖、中国科学院奖及中国科学院、北京市和全国科普先进个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9"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3</w:t>
            </w:r>
          </w:p>
        </w:tc>
        <w:tc>
          <w:tcPr>
            <w:tcW w:w="1276"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刘大禾</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男</w:t>
            </w:r>
          </w:p>
        </w:tc>
        <w:tc>
          <w:tcPr>
            <w:tcW w:w="6010" w:type="dxa"/>
            <w:vAlign w:val="center"/>
          </w:tcPr>
          <w:p>
            <w:pPr>
              <w:autoSpaceDE w:val="0"/>
              <w:autoSpaceDN w:val="0"/>
              <w:adjustRightInd w:val="0"/>
              <w:spacing w:line="400" w:lineRule="exact"/>
              <w:ind w:right="-1"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博士，北京师范大学物理系教授，博士生导师。中国光学学会理事，中国光学学会全息与光信息处理专业委员会副主任。曾任应用光学北京市重点实验室主任，现任无损检测技术教育部重点实验室主任。长期从事光学方面的教学和科研。主要研究方向为：光电子学，激光雷达，信息光学。主持承担国家863计划项目，国家自然科学基金项目，国防基础研究重大项目，武器装备探索重点项目，教育部重点项目等国家和省部级科研项目20余项。共发表SCI论文150余篇。获省部级自然科学一等奖。被评为科学中国人2011年度人物，被评为北京市产学研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3"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4</w:t>
            </w:r>
          </w:p>
        </w:tc>
        <w:tc>
          <w:tcPr>
            <w:tcW w:w="1276" w:type="dxa"/>
            <w:vAlign w:val="center"/>
          </w:tcPr>
          <w:p>
            <w:pPr>
              <w:jc w:val="center"/>
              <w:rPr>
                <w:rFonts w:hint="eastAsia" w:ascii="仿宋" w:hAnsi="仿宋" w:eastAsia="仿宋" w:cs="仿宋"/>
                <w:color w:val="000000"/>
                <w:sz w:val="32"/>
                <w:szCs w:val="32"/>
              </w:rPr>
            </w:pPr>
            <w:r>
              <w:rPr>
                <w:rFonts w:ascii="仿宋" w:hAnsi="仿宋" w:eastAsia="仿宋" w:cs="仿宋"/>
                <w:color w:val="000000"/>
                <w:sz w:val="32"/>
                <w:szCs w:val="32"/>
              </w:rPr>
              <w:t>郭耕</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男</w:t>
            </w:r>
          </w:p>
        </w:tc>
        <w:tc>
          <w:tcPr>
            <w:tcW w:w="6010" w:type="dxa"/>
            <w:vAlign w:val="center"/>
          </w:tcPr>
          <w:p>
            <w:pPr>
              <w:autoSpaceDE w:val="0"/>
              <w:autoSpaceDN w:val="0"/>
              <w:adjustRightInd w:val="0"/>
              <w:spacing w:line="400" w:lineRule="exact"/>
              <w:ind w:right="-1"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北京麋鹿生态实验中心暨麋鹿苑博物馆副主任、副馆长。北京市政协常委、中国环境文化促进会理事、中国科普作家协会常务理事。著作有《世界猿猴一览》《灭绝动物挽歌》《鸟语唐诗300首》《鸟兽物语》《兽殇》《中国博物馆探游——康鹿苑》《生态文明与绿色行动》《猿猴那些事》《故事中的科学动物篇》《心系鸟兽》《鸟瞅》等。曾获“地球奖”及北京十大杰出青年、全国科普先进工作者、全国未成年人生态道德教育先进个人、有突出贡献科普作家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0"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5</w:t>
            </w:r>
          </w:p>
        </w:tc>
        <w:tc>
          <w:tcPr>
            <w:tcW w:w="1276"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金雅芬</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女</w:t>
            </w:r>
          </w:p>
        </w:tc>
        <w:tc>
          <w:tcPr>
            <w:tcW w:w="6010" w:type="dxa"/>
            <w:vAlign w:val="center"/>
          </w:tcPr>
          <w:p>
            <w:pPr>
              <w:autoSpaceDE w:val="0"/>
              <w:autoSpaceDN w:val="0"/>
              <w:adjustRightInd w:val="0"/>
              <w:spacing w:line="400" w:lineRule="exact"/>
              <w:ind w:right="-1"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中国科学院数学与系统科学研究院研究员，毕业于中国科技大学数学系。长期担任数学院科普办公室副主任，现任中国科学院老科协数学分会秘书长。多年从事数学科普活动组织工作，是数学院公众科学日活动、数学社会大课堂活动与北京市中学高端研讨班活动的策划和组织者。根据网络信息时代科学传播的新特点，设计制作了多个数学科普网站，如“走近无限美妙的数学世界”“数学虚拟博物馆”和“纪念华罗庚诞辰100周年”专题网站等，获得中国科学院网络化科学传播平台优秀作品奖与科学传播活动组织奖。近年特别注意研究数学史与数学文化，撰写多篇科普文章，努力传播华罗庚等老一辈科学家的先进事迹、治学思想和科学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7"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6</w:t>
            </w:r>
          </w:p>
        </w:tc>
        <w:tc>
          <w:tcPr>
            <w:tcW w:w="1276"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王邦平</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男</w:t>
            </w:r>
          </w:p>
        </w:tc>
        <w:tc>
          <w:tcPr>
            <w:tcW w:w="6010" w:type="dxa"/>
            <w:vAlign w:val="center"/>
          </w:tcPr>
          <w:p>
            <w:pPr>
              <w:autoSpaceDE w:val="0"/>
              <w:autoSpaceDN w:val="0"/>
              <w:adjustRightInd w:val="0"/>
              <w:spacing w:line="400" w:lineRule="exact"/>
              <w:ind w:right="-1"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首都师范大学附属中学物理高级教师。曾任北京市海淀区兼职物理教研员、物理学科带头人和首都师范大学物理系中学物理教学法客座教授、教育硕士生导师。现任新课标初中教材（北京师范大学版）和北京市新课标初中教材编委。从事教育工作50余载。潜心研究教与学的规律，参与信息技术与课堂教学整合的研究，建立综合程度较高的中学物理信息技术实验室，并提出了信息技术与课堂整合的基本模式。近期研究方向：物理教与学过程中的科学方式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4"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7</w:t>
            </w:r>
          </w:p>
        </w:tc>
        <w:tc>
          <w:tcPr>
            <w:tcW w:w="1276"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潘习哲</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男</w:t>
            </w:r>
          </w:p>
        </w:tc>
        <w:tc>
          <w:tcPr>
            <w:tcW w:w="6010" w:type="dxa"/>
            <w:vAlign w:val="center"/>
          </w:tcPr>
          <w:p>
            <w:pPr>
              <w:autoSpaceDE w:val="0"/>
              <w:autoSpaceDN w:val="0"/>
              <w:adjustRightInd w:val="0"/>
              <w:spacing w:line="400" w:lineRule="exact"/>
              <w:ind w:right="1" w:firstLine="547" w:firstLineChars="171"/>
              <w:jc w:val="left"/>
              <w:rPr>
                <w:rFonts w:hint="eastAsia" w:ascii="仿宋" w:hAnsi="仿宋" w:eastAsia="仿宋" w:cs="仿宋"/>
                <w:color w:val="000000"/>
                <w:sz w:val="32"/>
                <w:szCs w:val="32"/>
              </w:rPr>
            </w:pPr>
            <w:r>
              <w:rPr>
                <w:rFonts w:hint="eastAsia" w:ascii="仿宋" w:hAnsi="仿宋" w:eastAsia="仿宋" w:cs="仿宋"/>
                <w:color w:val="000000"/>
                <w:sz w:val="32"/>
                <w:szCs w:val="32"/>
              </w:rPr>
              <w:t>中国科学院中国遥感卫星地面站研究员。原中国遥感卫星地面站站长，我国第一颗地球资源卫星（中巴卫星）地面系统副总指挥兼副总设计师，国家减灾委减灾卫星办公室专家组组长，中国遥感应用协会副理事长，科技部国家遥感中心战略专家组成员。参加了我国第一座遥感卫星地面站从筹备、建设到运行的全过程。任站长期间与多国遥感卫星运行机构进行交流与合作，较为了解国际航天遥感发展状况。获中国科学院和国家科技进步奖等多项奖励。享受国务院颁发的政府特殊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5" w:hRule="atLeast"/>
          <w:jc w:val="center"/>
        </w:trPr>
        <w:tc>
          <w:tcPr>
            <w:tcW w:w="979"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8</w:t>
            </w:r>
          </w:p>
        </w:tc>
        <w:tc>
          <w:tcPr>
            <w:tcW w:w="1276" w:type="dxa"/>
            <w:vAlign w:val="center"/>
          </w:tcPr>
          <w:p>
            <w:pPr>
              <w:spacing w:line="32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张德良</w:t>
            </w:r>
          </w:p>
        </w:tc>
        <w:tc>
          <w:tcPr>
            <w:tcW w:w="992" w:type="dxa"/>
            <w:vAlign w:val="center"/>
          </w:tcPr>
          <w:p>
            <w:pPr>
              <w:spacing w:line="32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男</w:t>
            </w:r>
          </w:p>
        </w:tc>
        <w:tc>
          <w:tcPr>
            <w:tcW w:w="6010" w:type="dxa"/>
            <w:vAlign w:val="center"/>
          </w:tcPr>
          <w:p>
            <w:pPr>
              <w:autoSpaceDE w:val="0"/>
              <w:autoSpaceDN w:val="0"/>
              <w:adjustRightInd w:val="0"/>
              <w:spacing w:line="400" w:lineRule="exact"/>
              <w:ind w:right="-1"/>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现任中国科学院力学研究所研究员，中国科学院大学教授，兼任北京大学工学院、中国科学技术大学工学院和南京理工大学动力学院兼职教授。曾任中国力学学会爆炸力和计算力学专业委员会委员。曾先后多次应邀赴加拿大、日本和德国，以及我国台湾等地工作、讲学和授课。主要从事爆炸与安全、高温气体动力学等方面研究工作，长期参与航空航天和军工领域重大项目，并发表论文200余篇。多次获中国科学院和国家级奖励。</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康简标题宋">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9C13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小熊哥 </cp:lastModifiedBy>
  <dcterms:modified xsi:type="dcterms:W3CDTF">2018-03-15T04:53:52Z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