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华康简标题宋" w:hAnsi="华康简标题宋" w:eastAsia="华康简标题宋" w:cs="华康简标题宋"/>
          <w:spacing w:val="-11"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康简标题宋" w:hAnsi="华康简标题宋" w:eastAsia="华康简标题宋" w:cs="华康简标题宋"/>
          <w:spacing w:val="-11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pacing w:val="-11"/>
          <w:sz w:val="44"/>
          <w:szCs w:val="44"/>
          <w:lang w:val="en-US" w:eastAsia="zh-CN"/>
        </w:rPr>
        <w:t>2018</w:t>
      </w:r>
      <w:r>
        <w:rPr>
          <w:rFonts w:hint="eastAsia" w:ascii="华康简标题宋" w:hAnsi="华康简标题宋" w:eastAsia="华康简标题宋" w:cs="华康简标题宋"/>
          <w:spacing w:val="-11"/>
          <w:sz w:val="44"/>
          <w:szCs w:val="44"/>
        </w:rPr>
        <w:t>“倍增计划”试点企业科技创新人才培养</w:t>
      </w:r>
    </w:p>
    <w:p>
      <w:pPr>
        <w:jc w:val="center"/>
        <w:rPr>
          <w:rFonts w:hint="eastAsia" w:ascii="华康简标题宋" w:hAnsi="华康简标题宋" w:eastAsia="华康简标题宋" w:cs="华康简标题宋"/>
          <w:sz w:val="44"/>
          <w:szCs w:val="44"/>
        </w:rPr>
      </w:pPr>
      <w:r>
        <w:rPr>
          <w:rFonts w:hint="eastAsia" w:ascii="华康简标题宋" w:hAnsi="华康简标题宋" w:eastAsia="华康简标题宋" w:cs="华康简标题宋"/>
          <w:sz w:val="44"/>
          <w:szCs w:val="44"/>
        </w:rPr>
        <w:t>实施方案</w:t>
      </w:r>
    </w:p>
    <w:p>
      <w:pPr>
        <w:rPr>
          <w:rFonts w:hint="eastAsia" w:ascii="仿宋" w:hAnsi="仿宋" w:eastAsia="仿宋" w:cs="仿宋"/>
          <w:sz w:val="31"/>
          <w:szCs w:val="31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一、项目背景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为东莞在更高起点上实现更高水平发展的宏伟目标，2017年东莞市政府以“一号文”形式发布东莞“倍增计划”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。2018年，东莞市级“倍增计划”试点企业（含名誉试点企业）从214家增至285家，全市“倍增”工作扎实，企业“倍增”势头迅猛。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东莞市科协为给东莞市“倍增计划”试点企业夯实发展根基，革新科技人才思维理念、提升专业人才业务技能、激发员工工作激情，委托直属事业单位东莞科技进修学院举办了“‘倍增计划’试点企业科技创新人才培养”工作。该项工作得到东莞各“倍增企业”的支持，2017年，全年共举办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场，培训人数达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3807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人，培训质量良好，培训效果突出，得到受训企业的一致认可。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2018年，东莞市科协将继续委托东莞科技进修学院举办“2018‘倍增计划’试点企业科技创新人才培养”工作，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将进一步扩大培训范围、加深培训深度，全面提升试点企业科技人员的专业技能，为企业培养一支充满创新活力与技能素质过硬的科技人才团队，为企业实现“倍增计划”提供人才与智力支持。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二、项目内容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（一）专业技能提升</w:t>
      </w:r>
    </w:p>
    <w:p>
      <w:pPr>
        <w:ind w:firstLine="640" w:firstLineChars="200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创新工程师培养（1-6天）</w:t>
      </w:r>
      <w:r>
        <w:rPr>
          <w:rFonts w:hint="eastAsia" w:ascii="仿宋" w:hAnsi="仿宋" w:eastAsia="仿宋" w:cs="仿宋"/>
          <w:sz w:val="31"/>
          <w:szCs w:val="31"/>
        </w:rPr>
        <w:t xml:space="preserve"> 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（二）人才成长服务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1.职称晋升服务：(1)职称申报政策解读（半天）；(2)职称申报辅导（1-3天）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2.心理健康咨询服务（2-9天）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三、实施计划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（一）2018年3月-4月  需求调查阶段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向全市镇街科协发文，收集“倍增计划”试点企业需求信息，了解试点企业人才培养需求。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（二）2018年4月  筹备阶段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根据前期所收集的需求情况与企业、讲师联系，确定全年培训工作安排与计划。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（三）2018年5月-12月 实施、总结阶段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根据计划到企业开展培训工作，专人跟踪及时了解培训效果，并根据企业反馈情况调整培训方向。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培训主题</w:t>
      </w:r>
    </w:p>
    <w:tbl>
      <w:tblPr>
        <w:tblStyle w:val="3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201"/>
        <w:gridCol w:w="3079"/>
        <w:gridCol w:w="1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7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华康简标题宋" w:hAnsi="华康简标题宋" w:eastAsia="华康简标题宋" w:cs="华康简标题宋"/>
                <w:sz w:val="32"/>
                <w:szCs w:val="32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2"/>
                <w:szCs w:val="32"/>
              </w:rPr>
              <w:t>服务内容</w:t>
            </w:r>
          </w:p>
        </w:tc>
        <w:tc>
          <w:tcPr>
            <w:tcW w:w="2201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华康简标题宋" w:hAnsi="华康简标题宋" w:eastAsia="华康简标题宋" w:cs="华康简标题宋"/>
                <w:sz w:val="32"/>
                <w:szCs w:val="32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2"/>
                <w:szCs w:val="32"/>
              </w:rPr>
              <w:t>课程方向</w:t>
            </w:r>
          </w:p>
        </w:tc>
        <w:tc>
          <w:tcPr>
            <w:tcW w:w="3094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华康简标题宋" w:hAnsi="华康简标题宋" w:eastAsia="华康简标题宋" w:cs="华康简标题宋"/>
                <w:sz w:val="32"/>
                <w:szCs w:val="32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2"/>
                <w:szCs w:val="32"/>
              </w:rPr>
              <w:t>培训内容</w:t>
            </w:r>
          </w:p>
        </w:tc>
        <w:tc>
          <w:tcPr>
            <w:tcW w:w="1560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华康简标题宋" w:hAnsi="华康简标题宋" w:eastAsia="华康简标题宋" w:cs="华康简标题宋"/>
                <w:sz w:val="32"/>
                <w:szCs w:val="32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2"/>
                <w:szCs w:val="32"/>
              </w:rPr>
              <w:t>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31" w:type="dxa"/>
            <w:gridSpan w:val="5"/>
            <w:vAlign w:val="top"/>
          </w:tcPr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2"/>
                <w:szCs w:val="32"/>
              </w:rPr>
              <w:t>专业技能提升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bookmarkStart w:id="0" w:name="OLE_LINK3" w:colFirst="1" w:colLast="3"/>
            <w:r>
              <w:rPr>
                <w:rFonts w:hint="eastAsia" w:ascii="仿宋" w:hAnsi="仿宋" w:eastAsia="仿宋" w:cs="仿宋"/>
              </w:rPr>
              <w:t>创新工程师培养</w:t>
            </w: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初级创新工程师培养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1.创新与TRIZ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2.如何正确发现问题、描述问题和解决问题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7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bookmarkStart w:id="1" w:name="OLE_LINK6" w:colFirst="1" w:colLast="2"/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高级创新工程师培养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1.TRIZ功能分析及工具使用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2.创新案例分析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3.企业技术实例解析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6天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1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sz w:val="31"/>
                <w:szCs w:val="31"/>
              </w:rPr>
            </w:pPr>
            <w:r>
              <w:rPr>
                <w:rFonts w:hint="eastAsia" w:ascii="华康简标题宋" w:hAnsi="华康简标题宋" w:eastAsia="华康简标题宋" w:cs="华康简标题宋"/>
                <w:sz w:val="31"/>
                <w:szCs w:val="31"/>
              </w:rPr>
              <w:t>人才成长服务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职称晋升服务</w:t>
            </w: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</w:rPr>
              <w:t>普及培训</w:t>
            </w:r>
          </w:p>
        </w:tc>
        <w:tc>
          <w:tcPr>
            <w:tcW w:w="307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</w:rPr>
              <w:t>职称政策文件解读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7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</w:rPr>
              <w:t>材料准备辅导</w:t>
            </w:r>
          </w:p>
        </w:tc>
        <w:tc>
          <w:tcPr>
            <w:tcW w:w="307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1.论文、工作总结等撰写技巧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</w:rPr>
              <w:t>2.职称申报流程辅导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7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</w:rPr>
              <w:t>申报服务</w:t>
            </w:r>
          </w:p>
        </w:tc>
        <w:tc>
          <w:tcPr>
            <w:tcW w:w="307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1.申报系统资料录入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2.申报表格填写技巧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</w:rPr>
              <w:t>3.答辩技巧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</w:rPr>
              <w:t>3天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心理健康咨询服务</w:t>
            </w: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心理关爱讲座</w:t>
            </w:r>
          </w:p>
        </w:tc>
        <w:tc>
          <w:tcPr>
            <w:tcW w:w="307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1.心理危机识别与干预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2.心理健康自我维护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心理援助咨询</w:t>
            </w:r>
          </w:p>
        </w:tc>
        <w:tc>
          <w:tcPr>
            <w:tcW w:w="3079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1.心理诊断技能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2.心理测量技能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3.心理咨询技能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9天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3D0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小熊哥 </cp:lastModifiedBy>
  <dcterms:modified xsi:type="dcterms:W3CDTF">2018-03-21T01:53:42Z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