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jc w:val="center"/>
        <w:rPr>
          <w:rFonts w:hint="eastAsia" w:ascii="华康简标题宋" w:hAnsi="华康简标题宋" w:eastAsia="华康简标题宋" w:cs="华康简标题宋"/>
          <w:color w:val="auto"/>
          <w:spacing w:val="-11"/>
          <w:sz w:val="44"/>
          <w:szCs w:val="44"/>
          <w:lang w:val="en-US" w:eastAsia="zh-CN"/>
        </w:rPr>
      </w:pPr>
    </w:p>
    <w:p>
      <w:pPr>
        <w:jc w:val="center"/>
        <w:rPr>
          <w:rFonts w:hint="eastAsia" w:ascii="华康简标题宋" w:hAnsi="华康简标题宋" w:eastAsia="华康简标题宋" w:cs="华康简标题宋"/>
          <w:color w:val="auto"/>
          <w:sz w:val="44"/>
          <w:szCs w:val="44"/>
        </w:rPr>
      </w:pPr>
      <w:bookmarkStart w:id="2" w:name="_GoBack"/>
      <w:r>
        <w:rPr>
          <w:rFonts w:hint="eastAsia" w:ascii="Times New Roman" w:hAnsi="Times New Roman" w:eastAsia="华康简标题宋" w:cs="Times New Roman"/>
          <w:color w:val="auto"/>
          <w:sz w:val="44"/>
          <w:szCs w:val="44"/>
          <w:lang w:val="en-US" w:eastAsia="zh-CN"/>
        </w:rPr>
        <w:t>2019</w:t>
      </w:r>
      <w:r>
        <w:rPr>
          <w:rFonts w:hint="eastAsia" w:ascii="华康简标题宋" w:hAnsi="华康简标题宋" w:eastAsia="华康简标题宋" w:cs="华康简标题宋"/>
          <w:color w:val="auto"/>
          <w:sz w:val="44"/>
          <w:szCs w:val="44"/>
          <w:lang w:val="en-US" w:eastAsia="zh-CN"/>
        </w:rPr>
        <w:t>年</w:t>
      </w:r>
      <w:r>
        <w:rPr>
          <w:rFonts w:hint="eastAsia" w:ascii="华康简标题宋" w:hAnsi="华康简标题宋" w:eastAsia="华康简标题宋" w:cs="华康简标题宋"/>
          <w:color w:val="auto"/>
          <w:sz w:val="44"/>
          <w:szCs w:val="44"/>
          <w:lang w:eastAsia="zh-CN"/>
        </w:rPr>
        <w:t>创新技能人才素质</w:t>
      </w:r>
      <w:r>
        <w:rPr>
          <w:rFonts w:hint="eastAsia" w:ascii="华康简标题宋" w:hAnsi="华康简标题宋" w:eastAsia="华康简标题宋" w:cs="华康简标题宋"/>
          <w:color w:val="auto"/>
          <w:sz w:val="44"/>
          <w:szCs w:val="44"/>
        </w:rPr>
        <w:t>培养实施</w:t>
      </w:r>
      <w:r>
        <w:rPr>
          <w:rFonts w:hint="eastAsia" w:ascii="华康简标题宋" w:hAnsi="华康简标题宋" w:eastAsia="华康简标题宋" w:cs="华康简标题宋"/>
          <w:color w:val="auto"/>
          <w:sz w:val="44"/>
          <w:szCs w:val="44"/>
          <w:lang w:eastAsia="zh-CN"/>
        </w:rPr>
        <w:t>方</w:t>
      </w:r>
      <w:r>
        <w:rPr>
          <w:rFonts w:hint="eastAsia" w:ascii="华康简标题宋" w:hAnsi="华康简标题宋" w:eastAsia="华康简标题宋" w:cs="华康简标题宋"/>
          <w:color w:val="auto"/>
          <w:sz w:val="44"/>
          <w:szCs w:val="44"/>
        </w:rPr>
        <w:t>案</w:t>
      </w:r>
    </w:p>
    <w:bookmarkEnd w:id="2"/>
    <w:p>
      <w:pPr>
        <w:rPr>
          <w:rFonts w:hint="eastAsia" w:ascii="仿宋" w:hAnsi="仿宋" w:eastAsia="仿宋" w:cs="仿宋"/>
          <w:color w:val="auto"/>
          <w:sz w:val="31"/>
          <w:szCs w:val="31"/>
        </w:rPr>
      </w:pP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一、项目背景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为大力推进“湾区都市、品质东莞”建设，东莞通过实施“十百千万百万”工程，全面提升百万劳动人员素质，打造“技能人才之都”。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东莞科技进修学院作为东莞市科协直属事业单位，将发挥单位培训优势，围绕市科协“四个服务”举办“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val="en-US" w:eastAsia="zh-CN"/>
        </w:rPr>
        <w:t>9年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lang w:eastAsia="zh-CN"/>
        </w:rPr>
        <w:t>创新技能人才素质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培养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”活动，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全面提升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东莞科技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人员的专业技能，为企业培养一支充满创新活力与技能素质过硬的科技人才团队，为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推进“湾区都市、品质东莞”建设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提供人才与智力支持。</w:t>
      </w:r>
    </w:p>
    <w:p>
      <w:p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二、项目内容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color w:val="auto"/>
          <w:sz w:val="31"/>
          <w:szCs w:val="31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（一）专业技能提升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1"/>
          <w:szCs w:val="31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创新工程师培养（1-6天）</w:t>
      </w:r>
      <w:r>
        <w:rPr>
          <w:rFonts w:hint="eastAsia" w:ascii="仿宋" w:hAnsi="仿宋" w:eastAsia="仿宋" w:cs="仿宋"/>
          <w:color w:val="auto"/>
          <w:sz w:val="31"/>
          <w:szCs w:val="31"/>
        </w:rPr>
        <w:t xml:space="preserve"> 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（二）人才成长服务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职称晋升服务：(1)职称申报政策解读（半天）；(2)职称申报辅导（1-3天）</w:t>
      </w:r>
    </w:p>
    <w:p>
      <w:p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三、实施计划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（一）201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年3月-4月  需求调查阶段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向全市镇街科协发文，收集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东莞科技企业人才素质提升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需求信息，了解业人才培养需求。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（二）201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年4月  筹备阶段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根据前期所收集的需求情况与企业、讲师联系，确定全年培训工作安排与计划。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（三）201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年5月-12月 实施、总结阶段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根据计划到企业开展培训工作，专人跟踪及时了解培训效果，并根据企业反馈情况调整培训方向。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培训主题</w:t>
      </w:r>
    </w:p>
    <w:tbl>
      <w:tblPr>
        <w:tblStyle w:val="2"/>
        <w:tblW w:w="8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2201"/>
        <w:gridCol w:w="3079"/>
        <w:gridCol w:w="1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7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华康简标题宋" w:hAnsi="华康简标题宋" w:eastAsia="华康简标题宋" w:cs="华康简标题宋"/>
                <w:color w:val="auto"/>
                <w:sz w:val="32"/>
                <w:szCs w:val="32"/>
              </w:rPr>
            </w:pPr>
            <w:r>
              <w:rPr>
                <w:rFonts w:hint="eastAsia" w:ascii="华康简标题宋" w:hAnsi="华康简标题宋" w:eastAsia="华康简标题宋" w:cs="华康简标题宋"/>
                <w:color w:val="auto"/>
                <w:sz w:val="32"/>
                <w:szCs w:val="32"/>
              </w:rPr>
              <w:t>服务内容</w:t>
            </w:r>
          </w:p>
        </w:tc>
        <w:tc>
          <w:tcPr>
            <w:tcW w:w="220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华康简标题宋" w:hAnsi="华康简标题宋" w:eastAsia="华康简标题宋" w:cs="华康简标题宋"/>
                <w:color w:val="auto"/>
                <w:sz w:val="32"/>
                <w:szCs w:val="32"/>
              </w:rPr>
            </w:pPr>
            <w:r>
              <w:rPr>
                <w:rFonts w:hint="eastAsia" w:ascii="华康简标题宋" w:hAnsi="华康简标题宋" w:eastAsia="华康简标题宋" w:cs="华康简标题宋"/>
                <w:color w:val="auto"/>
                <w:sz w:val="32"/>
                <w:szCs w:val="32"/>
              </w:rPr>
              <w:t>课程方向</w:t>
            </w:r>
          </w:p>
        </w:tc>
        <w:tc>
          <w:tcPr>
            <w:tcW w:w="3094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华康简标题宋" w:hAnsi="华康简标题宋" w:eastAsia="华康简标题宋" w:cs="华康简标题宋"/>
                <w:color w:val="auto"/>
                <w:sz w:val="32"/>
                <w:szCs w:val="32"/>
              </w:rPr>
            </w:pPr>
            <w:r>
              <w:rPr>
                <w:rFonts w:hint="eastAsia" w:ascii="华康简标题宋" w:hAnsi="华康简标题宋" w:eastAsia="华康简标题宋" w:cs="华康简标题宋"/>
                <w:color w:val="auto"/>
                <w:sz w:val="32"/>
                <w:szCs w:val="32"/>
              </w:rPr>
              <w:t>培训内容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华康简标题宋" w:hAnsi="华康简标题宋" w:eastAsia="华康简标题宋" w:cs="华康简标题宋"/>
                <w:color w:val="auto"/>
                <w:sz w:val="32"/>
                <w:szCs w:val="32"/>
              </w:rPr>
            </w:pPr>
            <w:r>
              <w:rPr>
                <w:rFonts w:hint="eastAsia" w:ascii="华康简标题宋" w:hAnsi="华康简标题宋" w:eastAsia="华康简标题宋" w:cs="华康简标题宋"/>
                <w:color w:val="auto"/>
                <w:sz w:val="32"/>
                <w:szCs w:val="32"/>
              </w:rPr>
              <w:t>培训时间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731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华康简标题宋" w:hAnsi="华康简标题宋" w:eastAsia="华康简标题宋" w:cs="华康简标题宋"/>
                <w:color w:val="auto"/>
                <w:sz w:val="32"/>
                <w:szCs w:val="32"/>
              </w:rPr>
              <w:t>专业技能提升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18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1"/>
                <w:szCs w:val="31"/>
              </w:rPr>
            </w:pPr>
            <w:bookmarkStart w:id="0" w:name="OLE_LINK3" w:colFirst="1" w:colLast="3"/>
            <w:r>
              <w:rPr>
                <w:rFonts w:hint="eastAsia" w:ascii="仿宋" w:hAnsi="仿宋" w:eastAsia="仿宋" w:cs="仿宋"/>
                <w:color w:val="auto"/>
                <w:sz w:val="31"/>
                <w:szCs w:val="31"/>
              </w:rPr>
              <w:t>创新工程师培养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auto"/>
                <w:sz w:val="31"/>
                <w:szCs w:val="31"/>
              </w:rPr>
              <w:t>初级创新工程师培养</w:t>
            </w:r>
          </w:p>
        </w:tc>
        <w:tc>
          <w:tcPr>
            <w:tcW w:w="30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auto"/>
                <w:sz w:val="31"/>
                <w:szCs w:val="31"/>
              </w:rPr>
              <w:t>1.创新与TRIZ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auto"/>
                <w:sz w:val="31"/>
                <w:szCs w:val="31"/>
              </w:rPr>
              <w:t>2.如何正确发现问题、描述问题和解决问题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auto"/>
                <w:sz w:val="31"/>
                <w:szCs w:val="31"/>
              </w:rPr>
              <w:t>1天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1"/>
                <w:szCs w:val="31"/>
              </w:rPr>
            </w:pPr>
            <w:bookmarkStart w:id="1" w:name="OLE_LINK6" w:colFirst="1" w:colLast="2"/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auto"/>
                <w:sz w:val="31"/>
                <w:szCs w:val="31"/>
              </w:rPr>
              <w:t>高级创新工程师培养</w:t>
            </w:r>
          </w:p>
        </w:tc>
        <w:tc>
          <w:tcPr>
            <w:tcW w:w="30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auto"/>
                <w:sz w:val="31"/>
                <w:szCs w:val="31"/>
              </w:rPr>
              <w:t>1.TRIZ功能分析及工具使用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auto"/>
                <w:sz w:val="31"/>
                <w:szCs w:val="31"/>
              </w:rPr>
              <w:t xml:space="preserve">2.创新案例分析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auto"/>
                <w:sz w:val="31"/>
                <w:szCs w:val="31"/>
              </w:rPr>
              <w:t>3.企业技术实例解析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auto"/>
                <w:sz w:val="31"/>
                <w:szCs w:val="31"/>
              </w:rPr>
              <w:t>6天</w:t>
            </w:r>
          </w:p>
        </w:tc>
      </w:tr>
      <w:bookmarkEnd w:id="0"/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31"/>
                <w:szCs w:val="31"/>
              </w:rPr>
            </w:pPr>
            <w:r>
              <w:rPr>
                <w:rFonts w:hint="eastAsia" w:ascii="华康简标题宋" w:hAnsi="华康简标题宋" w:eastAsia="华康简标题宋" w:cs="华康简标题宋"/>
                <w:color w:val="auto"/>
                <w:sz w:val="32"/>
                <w:szCs w:val="32"/>
              </w:rPr>
              <w:t>人才成长服务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auto"/>
                <w:sz w:val="31"/>
                <w:szCs w:val="31"/>
              </w:rPr>
              <w:t>职称晋升服务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auto"/>
                <w:sz w:val="31"/>
                <w:szCs w:val="31"/>
              </w:rPr>
              <w:t>普及培训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auto"/>
                <w:sz w:val="31"/>
                <w:szCs w:val="31"/>
              </w:rPr>
              <w:t>职称政策文件解读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auto"/>
                <w:sz w:val="31"/>
                <w:szCs w:val="31"/>
              </w:rPr>
              <w:t>1天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1"/>
                <w:szCs w:val="31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auto"/>
                <w:sz w:val="31"/>
                <w:szCs w:val="31"/>
              </w:rPr>
              <w:t>材料准备辅导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auto"/>
                <w:sz w:val="31"/>
                <w:szCs w:val="31"/>
              </w:rPr>
              <w:t>1.论文、工作总结等撰写技巧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auto"/>
                <w:sz w:val="31"/>
                <w:szCs w:val="31"/>
              </w:rPr>
              <w:t>2.职称申报流程辅导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auto"/>
                <w:sz w:val="31"/>
                <w:szCs w:val="31"/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8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1"/>
                <w:szCs w:val="31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auto"/>
                <w:sz w:val="31"/>
                <w:szCs w:val="31"/>
              </w:rPr>
              <w:t>申报服务</w:t>
            </w:r>
          </w:p>
        </w:tc>
        <w:tc>
          <w:tcPr>
            <w:tcW w:w="3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auto"/>
                <w:sz w:val="31"/>
                <w:szCs w:val="31"/>
              </w:rPr>
              <w:t>1.申报系统资料录入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auto"/>
                <w:sz w:val="31"/>
                <w:szCs w:val="31"/>
              </w:rPr>
              <w:t>2.申报表格填写技巧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auto"/>
                <w:sz w:val="31"/>
                <w:szCs w:val="31"/>
              </w:rPr>
              <w:t>3.答辩技巧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color w:val="auto"/>
                <w:sz w:val="31"/>
                <w:szCs w:val="31"/>
              </w:rPr>
              <w:t>3天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77412"/>
    <w:rsid w:val="2EC7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2019-03-28T08:16:00Z</dcterms:created>
  <dc:creator>Administrator</dc:creator>
  <cp:lastModifiedBy>Administrator</cp:lastModifiedBy>
  <dcterms:modified xsi:type="dcterms:W3CDTF">2019-03-28T08:17:00Z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