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广东省事业单位2023年集中公开招聘高校毕业生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东莞市</w:t>
      </w:r>
      <w:r>
        <w:rPr>
          <w:rFonts w:hint="eastAsia" w:ascii="方正小标宋简体" w:eastAsia="方正小标宋简体"/>
          <w:sz w:val="36"/>
          <w:lang w:val="en-US" w:eastAsia="zh-CN"/>
        </w:rPr>
        <w:t>科学技术协会</w:t>
      </w:r>
      <w:r>
        <w:rPr>
          <w:rFonts w:hint="eastAsia" w:ascii="方正小标宋简体" w:eastAsia="方正小标宋简体"/>
          <w:sz w:val="36"/>
        </w:rPr>
        <w:t>下属事业单位面试有关事项公告</w:t>
      </w:r>
    </w:p>
    <w:p>
      <w:pPr>
        <w:rPr>
          <w:rFonts w:ascii="方正小标宋简体" w:eastAsia="方正小标宋简体"/>
          <w:sz w:val="36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根据《广东省事业单位202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年集中公开招聘高校毕业生公告》工作安排</w:t>
      </w:r>
      <w:r>
        <w:rPr>
          <w:rFonts w:hint="eastAsia" w:eastAsia="仿宋_GB2312"/>
          <w:sz w:val="32"/>
          <w:szCs w:val="32"/>
        </w:rPr>
        <w:t>，现将东莞市</w:t>
      </w:r>
      <w:r>
        <w:rPr>
          <w:rFonts w:hint="eastAsia" w:eastAsia="仿宋_GB2312"/>
          <w:sz w:val="32"/>
          <w:szCs w:val="32"/>
          <w:lang w:val="en-US" w:eastAsia="zh-CN"/>
        </w:rPr>
        <w:t>科学技术协会</w:t>
      </w:r>
      <w:r>
        <w:rPr>
          <w:rFonts w:hint="eastAsia" w:eastAsia="仿宋_GB2312"/>
          <w:sz w:val="32"/>
          <w:szCs w:val="32"/>
        </w:rPr>
        <w:t>下属事业单位面试人员名单及面试合格分数线予以公告。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一、面试人员名单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详见附件《广东省事业单位2023年集中公开招聘高校毕业生东莞市</w:t>
      </w:r>
      <w:r>
        <w:rPr>
          <w:rFonts w:hint="eastAsia" w:eastAsia="仿宋_GB2312"/>
          <w:sz w:val="32"/>
          <w:szCs w:val="32"/>
          <w:lang w:val="en-US" w:eastAsia="zh-CN"/>
        </w:rPr>
        <w:t>科学技术协会</w:t>
      </w:r>
      <w:r>
        <w:rPr>
          <w:rFonts w:hint="eastAsia" w:eastAsia="仿宋_GB2312"/>
          <w:sz w:val="32"/>
          <w:szCs w:val="32"/>
        </w:rPr>
        <w:t>下属事业单位面试人员名单》。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二、面试合格分数线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经研究，东莞市</w:t>
      </w:r>
      <w:r>
        <w:rPr>
          <w:rFonts w:hint="eastAsia" w:eastAsia="仿宋_GB2312"/>
          <w:sz w:val="32"/>
          <w:szCs w:val="32"/>
          <w:lang w:val="en-US" w:eastAsia="zh-CN"/>
        </w:rPr>
        <w:t>科学技术协会</w:t>
      </w:r>
      <w:r>
        <w:rPr>
          <w:rFonts w:hint="eastAsia" w:eastAsia="仿宋_GB2312"/>
          <w:sz w:val="32"/>
          <w:szCs w:val="32"/>
        </w:rPr>
        <w:t>下属事业单位面试合格分数线为60分。面试成绩低于60分的考生不能入围体检环节。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三、其他事项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面试初定于6月下旬举行，采用结构化面试的方式进行。具体面试时间地点、面试资格审核事项将通过电话或短信的方式通知到考生。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>刘玉芳</w:t>
      </w:r>
      <w:r>
        <w:rPr>
          <w:rFonts w:hint="eastAsia"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lang w:val="en-US" w:eastAsia="zh-CN"/>
        </w:rPr>
        <w:t>22110396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东莞市</w:t>
      </w:r>
      <w:r>
        <w:rPr>
          <w:rFonts w:hint="eastAsia" w:eastAsia="仿宋_GB2312"/>
          <w:sz w:val="32"/>
          <w:szCs w:val="32"/>
          <w:lang w:val="en-US" w:eastAsia="zh-CN"/>
        </w:rPr>
        <w:t>科学技术协会</w:t>
      </w:r>
    </w:p>
    <w:p>
      <w:pPr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2023年6月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right="480"/>
        <w:jc w:val="left"/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广东省事业单位202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3年集中公开招聘高校毕业生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东莞市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科学技术协会</w:t>
      </w:r>
      <w:r>
        <w:rPr>
          <w:rFonts w:hint="eastAsia" w:ascii="方正小标宋简体" w:eastAsia="方正小标宋简体"/>
          <w:sz w:val="36"/>
          <w:szCs w:val="36"/>
        </w:rPr>
        <w:t>下属事业单位面试人员名单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岗位名称：科展部专业技术岗位十一级至十三级</w:t>
      </w:r>
    </w:p>
    <w:tbl>
      <w:tblPr>
        <w:tblStyle w:val="6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98"/>
        <w:gridCol w:w="1203"/>
        <w:gridCol w:w="1984"/>
        <w:gridCol w:w="1134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231110109522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231110301416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范岸楠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231110403106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曹旭鸿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231110103417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231110404528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岗位名称：研发部专业技术岗位十一级至十三级</w:t>
      </w:r>
    </w:p>
    <w:tbl>
      <w:tblPr>
        <w:tblStyle w:val="6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98"/>
        <w:gridCol w:w="1203"/>
        <w:gridCol w:w="1984"/>
        <w:gridCol w:w="1134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2311266110079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戴擎天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231110110113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2311266110079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231110206724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2311266110079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231110110125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2311266110079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231110200222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2311266110079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潘经纬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231110111104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5497"/>
    <w:rsid w:val="002220D5"/>
    <w:rsid w:val="002F2798"/>
    <w:rsid w:val="00371686"/>
    <w:rsid w:val="0041309D"/>
    <w:rsid w:val="005323BE"/>
    <w:rsid w:val="0061011E"/>
    <w:rsid w:val="00616D48"/>
    <w:rsid w:val="00617410"/>
    <w:rsid w:val="006D5497"/>
    <w:rsid w:val="0070486D"/>
    <w:rsid w:val="007D677A"/>
    <w:rsid w:val="00851DAF"/>
    <w:rsid w:val="00856360"/>
    <w:rsid w:val="00911AE4"/>
    <w:rsid w:val="009C57AA"/>
    <w:rsid w:val="00AC5132"/>
    <w:rsid w:val="00B22E57"/>
    <w:rsid w:val="00C331EE"/>
    <w:rsid w:val="00C744C4"/>
    <w:rsid w:val="00C74AA0"/>
    <w:rsid w:val="00D64DA6"/>
    <w:rsid w:val="00DC70AD"/>
    <w:rsid w:val="00DD266A"/>
    <w:rsid w:val="00FE747E"/>
    <w:rsid w:val="00FF73F1"/>
    <w:rsid w:val="0A5367EB"/>
    <w:rsid w:val="151E427E"/>
    <w:rsid w:val="165A469B"/>
    <w:rsid w:val="17652636"/>
    <w:rsid w:val="23A71A6E"/>
    <w:rsid w:val="28D47970"/>
    <w:rsid w:val="2A520EAA"/>
    <w:rsid w:val="355B719C"/>
    <w:rsid w:val="45B52589"/>
    <w:rsid w:val="4D4B0070"/>
    <w:rsid w:val="5D707945"/>
    <w:rsid w:val="6036460F"/>
    <w:rsid w:val="6378565D"/>
    <w:rsid w:val="6AA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正文文本 Char"/>
    <w:basedOn w:val="7"/>
    <w:link w:val="3"/>
    <w:uiPriority w:val="0"/>
    <w:rPr>
      <w:kern w:val="2"/>
      <w:sz w:val="21"/>
    </w:rPr>
  </w:style>
  <w:style w:type="character" w:customStyle="1" w:styleId="11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14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 w:val="32"/>
      <w:szCs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/>
      <w:szCs w:val="32"/>
    </w:rPr>
  </w:style>
  <w:style w:type="character" w:customStyle="1" w:styleId="1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67</Words>
  <Characters>388</Characters>
  <Lines>3</Lines>
  <Paragraphs>1</Paragraphs>
  <TotalTime>5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2021-10-21T12:31:00Z</dcterms:created>
  <dc:creator>罗杰生</dc:creator>
  <cp:lastModifiedBy>❣Elena®</cp:lastModifiedBy>
  <cp:lastPrinted>2023-06-09T07:16:02Z</cp:lastPrinted>
  <dcterms:modified xsi:type="dcterms:W3CDTF">2023-06-09T07:16:26Z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FE0D50DFAB65428FBD707F0CBEB8195E</vt:lpwstr>
  </property>
</Properties>
</file>